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imes New Roman"/>
          <w:b/>
          <w:spacing w:val="20"/>
          <w:sz w:val="44"/>
          <w:highlight w:val="none"/>
          <w:u w:val="single"/>
        </w:rPr>
      </w:pPr>
    </w:p>
    <w:p>
      <w:pPr>
        <w:spacing w:line="500" w:lineRule="exact"/>
        <w:jc w:val="center"/>
        <w:rPr>
          <w:rFonts w:hint="eastAsia" w:hAnsi="宋体"/>
          <w:b/>
          <w:spacing w:val="20"/>
          <w:sz w:val="44"/>
          <w:szCs w:val="44"/>
          <w:highlight w:val="none"/>
          <w:u w:val="single"/>
          <w:lang w:eastAsia="zh-CN"/>
        </w:rPr>
      </w:pPr>
      <w:r>
        <w:rPr>
          <w:rFonts w:hint="eastAsia" w:hAnsi="宋体"/>
          <w:b/>
          <w:spacing w:val="20"/>
          <w:sz w:val="44"/>
          <w:szCs w:val="44"/>
          <w:highlight w:val="none"/>
          <w:u w:val="single"/>
          <w:lang w:eastAsia="zh-CN"/>
        </w:rPr>
        <w:t>东南大学南通海洋高等研究院财务信息化基础平台建设项目</w:t>
      </w:r>
    </w:p>
    <w:p>
      <w:pPr>
        <w:pStyle w:val="5"/>
        <w:rPr>
          <w:rFonts w:hint="eastAsia" w:hAnsi="宋体"/>
          <w:b/>
          <w:spacing w:val="20"/>
          <w:sz w:val="44"/>
          <w:szCs w:val="44"/>
          <w:highlight w:val="none"/>
          <w:u w:val="single"/>
          <w:lang w:eastAsia="zh-CN"/>
        </w:rPr>
      </w:pPr>
    </w:p>
    <w:p>
      <w:pPr>
        <w:pStyle w:val="5"/>
        <w:rPr>
          <w:rFonts w:hint="eastAsia" w:hAnsi="宋体"/>
          <w:b/>
          <w:spacing w:val="20"/>
          <w:sz w:val="44"/>
          <w:szCs w:val="44"/>
          <w:highlight w:val="none"/>
          <w:u w:val="single"/>
          <w:lang w:eastAsia="zh-CN"/>
        </w:rPr>
      </w:pPr>
    </w:p>
    <w:p>
      <w:pPr>
        <w:jc w:val="center"/>
        <w:rPr>
          <w:rFonts w:ascii="Times New Roman" w:eastAsia="华文新魏"/>
          <w:b/>
          <w:sz w:val="100"/>
          <w:szCs w:val="100"/>
          <w:highlight w:val="none"/>
        </w:rPr>
      </w:pPr>
      <w:r>
        <w:rPr>
          <w:rFonts w:ascii="Times New Roman" w:eastAsia="华文新魏"/>
          <w:b/>
          <w:sz w:val="100"/>
          <w:szCs w:val="100"/>
          <w:highlight w:val="none"/>
        </w:rPr>
        <w:t>政府采购招标文件</w:t>
      </w:r>
    </w:p>
    <w:p>
      <w:pPr>
        <w:rPr>
          <w:rFonts w:ascii="Times New Roman"/>
          <w:highlight w:val="none"/>
        </w:rPr>
      </w:pPr>
    </w:p>
    <w:p>
      <w:pPr>
        <w:spacing w:line="500" w:lineRule="exact"/>
        <w:jc w:val="center"/>
        <w:rPr>
          <w:rFonts w:ascii="Times New Roman" w:eastAsia="仿宋_GB2312"/>
          <w:b/>
          <w:sz w:val="36"/>
          <w:highlight w:val="none"/>
        </w:rPr>
      </w:pPr>
    </w:p>
    <w:p>
      <w:pPr>
        <w:spacing w:line="500" w:lineRule="exact"/>
        <w:jc w:val="center"/>
        <w:rPr>
          <w:rFonts w:ascii="Times New Roman" w:eastAsia="仿宋_GB2312"/>
          <w:b/>
          <w:sz w:val="36"/>
          <w:highlight w:val="none"/>
        </w:rPr>
      </w:pPr>
    </w:p>
    <w:p>
      <w:pPr>
        <w:spacing w:line="500" w:lineRule="exact"/>
        <w:jc w:val="center"/>
        <w:rPr>
          <w:rFonts w:ascii="Times New Roman" w:eastAsia="仿宋_GB2312"/>
          <w:b/>
          <w:sz w:val="36"/>
          <w:highlight w:val="none"/>
        </w:rPr>
      </w:pPr>
    </w:p>
    <w:p>
      <w:pPr>
        <w:spacing w:line="500" w:lineRule="exact"/>
        <w:rPr>
          <w:rFonts w:ascii="Times New Roman" w:eastAsia="仿宋_GB2312"/>
          <w:highlight w:val="none"/>
        </w:rPr>
      </w:pPr>
      <w:r>
        <w:rPr>
          <w:rFonts w:ascii="Times New Roman" w:eastAsia="仿宋_GB2312"/>
          <w:highlight w:val="none"/>
        </w:rPr>
        <w:pict>
          <v:shape id="_x0000_s1026" o:spid="_x0000_s1026" o:spt="75" type="#_x0000_t75" style="position:absolute;left:0pt;margin-left:136.5pt;margin-top:31.2pt;height:140.95pt;width:183.75pt;mso-wrap-distance-bottom:0pt;mso-wrap-distance-top:0pt;z-index:251658240;mso-width-relative:page;mso-height-relative:page;" o:ole="t" filled="f" stroked="f" coordsize="21600,21600" o:allowincell="f">
            <v:path/>
            <v:fill on="f" focussize="0,0"/>
            <v:stroke on="f"/>
            <v:imagedata r:id="rId6" o:title=""/>
            <o:lock v:ext="edit" aspectratio="t"/>
            <w10:wrap type="topAndBottom"/>
          </v:shape>
          <o:OLEObject Type="Embed" ProgID="" ShapeID="_x0000_s1026" DrawAspect="Content" ObjectID="_1468075725" r:id="rId5">
            <o:LockedField>false</o:LockedField>
          </o:OLEObject>
        </w:pict>
      </w:r>
    </w:p>
    <w:p>
      <w:pPr>
        <w:spacing w:line="500" w:lineRule="exact"/>
        <w:jc w:val="center"/>
        <w:rPr>
          <w:rFonts w:ascii="Times New Roman" w:eastAsia="仿宋_GB2312"/>
          <w:sz w:val="32"/>
          <w:highlight w:val="none"/>
        </w:rPr>
      </w:pPr>
    </w:p>
    <w:p>
      <w:pPr>
        <w:spacing w:line="500" w:lineRule="exact"/>
        <w:rPr>
          <w:rFonts w:ascii="Times New Roman" w:eastAsia="仿宋_GB2312"/>
          <w:sz w:val="32"/>
          <w:highlight w:val="none"/>
        </w:rPr>
      </w:pPr>
    </w:p>
    <w:p>
      <w:pPr>
        <w:spacing w:line="500" w:lineRule="exact"/>
        <w:jc w:val="center"/>
        <w:rPr>
          <w:rFonts w:ascii="Times New Roman" w:eastAsia="仿宋_GB2312"/>
          <w:sz w:val="32"/>
          <w:highlight w:val="none"/>
        </w:rPr>
      </w:pPr>
    </w:p>
    <w:p>
      <w:pPr>
        <w:spacing w:line="500" w:lineRule="exact"/>
        <w:jc w:val="center"/>
        <w:rPr>
          <w:rFonts w:ascii="Times New Roman" w:eastAsia="仿宋_GB2312"/>
          <w:sz w:val="32"/>
          <w:highlight w:val="none"/>
        </w:rPr>
      </w:pPr>
    </w:p>
    <w:p>
      <w:pPr>
        <w:spacing w:line="500" w:lineRule="exact"/>
        <w:jc w:val="center"/>
        <w:rPr>
          <w:rFonts w:ascii="Times New Roman" w:eastAsia="仿宋_GB2312"/>
          <w:sz w:val="32"/>
          <w:highlight w:val="none"/>
        </w:rPr>
      </w:pPr>
    </w:p>
    <w:p>
      <w:pPr>
        <w:spacing w:line="500" w:lineRule="exact"/>
        <w:jc w:val="center"/>
        <w:rPr>
          <w:rFonts w:hint="eastAsia" w:ascii="Times New Roman" w:eastAsia="宋体"/>
          <w:spacing w:val="20"/>
          <w:sz w:val="28"/>
          <w:szCs w:val="28"/>
          <w:highlight w:val="none"/>
          <w:lang w:eastAsia="zh-CN"/>
        </w:rPr>
      </w:pPr>
      <w:r>
        <w:rPr>
          <w:rFonts w:ascii="Times New Roman"/>
          <w:spacing w:val="20"/>
          <w:sz w:val="28"/>
          <w:szCs w:val="28"/>
          <w:highlight w:val="none"/>
        </w:rPr>
        <w:t>采购单位</w:t>
      </w:r>
      <w:r>
        <w:rPr>
          <w:rFonts w:ascii="Times New Roman"/>
          <w:spacing w:val="20"/>
          <w:sz w:val="28"/>
          <w:szCs w:val="28"/>
          <w:highlight w:val="none"/>
          <w:u w:val="single"/>
        </w:rPr>
        <w:t>：</w:t>
      </w:r>
      <w:r>
        <w:rPr>
          <w:rFonts w:hint="eastAsia" w:ascii="Times New Roman"/>
          <w:spacing w:val="20"/>
          <w:sz w:val="28"/>
          <w:szCs w:val="28"/>
          <w:highlight w:val="none"/>
          <w:u w:val="single"/>
          <w:lang w:eastAsia="zh-CN"/>
        </w:rPr>
        <w:t>东南大学南通海洋高等研究院</w:t>
      </w:r>
    </w:p>
    <w:p>
      <w:pPr>
        <w:spacing w:line="500" w:lineRule="exact"/>
        <w:jc w:val="center"/>
        <w:rPr>
          <w:rFonts w:hint="eastAsia" w:ascii="Times New Roman" w:eastAsia="宋体"/>
          <w:spacing w:val="20"/>
          <w:sz w:val="28"/>
          <w:szCs w:val="28"/>
          <w:highlight w:val="none"/>
          <w:lang w:eastAsia="zh-CN"/>
        </w:rPr>
      </w:pPr>
      <w:r>
        <w:rPr>
          <w:rFonts w:ascii="Times New Roman"/>
          <w:spacing w:val="20"/>
          <w:sz w:val="28"/>
          <w:szCs w:val="28"/>
          <w:highlight w:val="none"/>
        </w:rPr>
        <w:t>代理单位</w:t>
      </w:r>
      <w:r>
        <w:rPr>
          <w:rFonts w:ascii="Times New Roman"/>
          <w:spacing w:val="20"/>
          <w:sz w:val="28"/>
          <w:szCs w:val="28"/>
          <w:highlight w:val="none"/>
          <w:u w:val="single"/>
        </w:rPr>
        <w:t>：</w:t>
      </w:r>
      <w:r>
        <w:rPr>
          <w:rFonts w:hint="eastAsia" w:ascii="Times New Roman"/>
          <w:spacing w:val="20"/>
          <w:sz w:val="28"/>
          <w:szCs w:val="28"/>
          <w:highlight w:val="none"/>
          <w:u w:val="single"/>
          <w:lang w:eastAsia="zh-CN"/>
        </w:rPr>
        <w:t>上海申邑工程咨询有限公司</w:t>
      </w:r>
    </w:p>
    <w:p>
      <w:pPr>
        <w:spacing w:line="500" w:lineRule="exact"/>
        <w:jc w:val="center"/>
        <w:rPr>
          <w:rFonts w:ascii="Times New Roman"/>
          <w:spacing w:val="20"/>
          <w:sz w:val="28"/>
          <w:szCs w:val="28"/>
          <w:highlight w:val="none"/>
        </w:rPr>
      </w:pPr>
      <w:r>
        <w:rPr>
          <w:rFonts w:ascii="Times New Roman"/>
          <w:spacing w:val="20"/>
          <w:sz w:val="28"/>
          <w:szCs w:val="28"/>
          <w:highlight w:val="none"/>
        </w:rPr>
        <w:t>日期：</w:t>
      </w:r>
      <w:r>
        <w:rPr>
          <w:rFonts w:hint="eastAsia" w:hAnsi="宋体"/>
          <w:spacing w:val="20"/>
          <w:sz w:val="28"/>
          <w:szCs w:val="28"/>
          <w:highlight w:val="none"/>
          <w:u w:val="single"/>
        </w:rPr>
        <w:t>202</w:t>
      </w:r>
      <w:r>
        <w:rPr>
          <w:rFonts w:hint="eastAsia" w:hAnsi="宋体"/>
          <w:spacing w:val="20"/>
          <w:sz w:val="28"/>
          <w:szCs w:val="28"/>
          <w:highlight w:val="none"/>
          <w:u w:val="single"/>
          <w:lang w:val="en-US" w:eastAsia="zh-CN"/>
        </w:rPr>
        <w:t>4</w:t>
      </w:r>
      <w:r>
        <w:rPr>
          <w:rFonts w:hint="eastAsia" w:hAnsi="宋体"/>
          <w:spacing w:val="20"/>
          <w:sz w:val="28"/>
          <w:szCs w:val="28"/>
          <w:highlight w:val="none"/>
          <w:u w:val="single"/>
        </w:rPr>
        <w:t>年</w:t>
      </w:r>
      <w:r>
        <w:rPr>
          <w:rFonts w:hint="eastAsia" w:hAnsi="宋体"/>
          <w:spacing w:val="20"/>
          <w:sz w:val="28"/>
          <w:szCs w:val="28"/>
          <w:highlight w:val="none"/>
          <w:u w:val="single"/>
          <w:lang w:val="en-US" w:eastAsia="zh-CN"/>
        </w:rPr>
        <w:t>10</w:t>
      </w:r>
      <w:r>
        <w:rPr>
          <w:rFonts w:hint="eastAsia" w:hAnsi="宋体"/>
          <w:spacing w:val="20"/>
          <w:sz w:val="28"/>
          <w:szCs w:val="28"/>
          <w:highlight w:val="none"/>
          <w:u w:val="single"/>
        </w:rPr>
        <w:t>月</w:t>
      </w:r>
      <w:r>
        <w:rPr>
          <w:rFonts w:hint="eastAsia" w:hAnsi="宋体"/>
          <w:spacing w:val="20"/>
          <w:sz w:val="28"/>
          <w:szCs w:val="28"/>
          <w:highlight w:val="none"/>
          <w:u w:val="single"/>
          <w:lang w:val="en-US" w:eastAsia="zh-CN"/>
        </w:rPr>
        <w:t>11</w:t>
      </w:r>
      <w:r>
        <w:rPr>
          <w:rFonts w:hint="eastAsia" w:hAnsi="宋体"/>
          <w:spacing w:val="20"/>
          <w:sz w:val="28"/>
          <w:szCs w:val="28"/>
          <w:highlight w:val="none"/>
          <w:u w:val="single"/>
        </w:rPr>
        <w:t>日</w:t>
      </w:r>
    </w:p>
    <w:p>
      <w:pPr>
        <w:adjustRightInd w:val="0"/>
        <w:snapToGrid w:val="0"/>
        <w:ind w:left="-180" w:leftChars="-75"/>
        <w:rPr>
          <w:rFonts w:ascii="Times New Roman"/>
          <w:snapToGrid w:val="0"/>
          <w:sz w:val="26"/>
          <w:szCs w:val="28"/>
          <w:highlight w:val="none"/>
          <w:u w:val="single"/>
        </w:rPr>
      </w:pPr>
      <w:r>
        <w:rPr>
          <w:rFonts w:ascii="Times New Roman"/>
          <w:snapToGrid w:val="0"/>
          <w:sz w:val="26"/>
          <w:szCs w:val="28"/>
          <w:highlight w:val="none"/>
          <w:u w:val="single"/>
        </w:rPr>
        <w:t xml:space="preserve">                                                                    </w:t>
      </w:r>
    </w:p>
    <w:p>
      <w:pPr>
        <w:spacing w:line="500" w:lineRule="exact"/>
        <w:jc w:val="center"/>
        <w:rPr>
          <w:rFonts w:ascii="Times New Roman"/>
          <w:sz w:val="44"/>
          <w:szCs w:val="44"/>
          <w:highlight w:val="none"/>
        </w:rPr>
      </w:pPr>
      <w:r>
        <w:rPr>
          <w:rFonts w:ascii="Times New Roman"/>
          <w:sz w:val="44"/>
          <w:szCs w:val="44"/>
          <w:highlight w:val="none"/>
        </w:rPr>
        <w:br w:type="page"/>
      </w:r>
      <w:r>
        <w:rPr>
          <w:rFonts w:ascii="Times New Roman"/>
          <w:sz w:val="44"/>
          <w:szCs w:val="44"/>
          <w:highlight w:val="none"/>
        </w:rPr>
        <w:t>目      录</w:t>
      </w:r>
    </w:p>
    <w:p>
      <w:pPr>
        <w:spacing w:line="500" w:lineRule="exact"/>
        <w:jc w:val="center"/>
        <w:rPr>
          <w:rFonts w:ascii="Times New Roman"/>
          <w:sz w:val="44"/>
          <w:highlight w:val="none"/>
        </w:rPr>
      </w:pPr>
    </w:p>
    <w:p>
      <w:pPr>
        <w:tabs>
          <w:tab w:val="left" w:pos="7740"/>
        </w:tabs>
        <w:spacing w:line="500" w:lineRule="exact"/>
        <w:rPr>
          <w:rFonts w:ascii="Times New Roman"/>
          <w:spacing w:val="2"/>
          <w:sz w:val="32"/>
          <w:szCs w:val="32"/>
          <w:highlight w:val="none"/>
        </w:rPr>
      </w:pPr>
      <w:r>
        <w:rPr>
          <w:rFonts w:ascii="Times New Roman"/>
          <w:bCs/>
          <w:sz w:val="32"/>
          <w:szCs w:val="32"/>
          <w:highlight w:val="none"/>
        </w:rPr>
        <w:t>第一部分  招标公告</w:t>
      </w:r>
    </w:p>
    <w:p>
      <w:pPr>
        <w:tabs>
          <w:tab w:val="left" w:pos="7740"/>
        </w:tabs>
        <w:spacing w:line="500" w:lineRule="exact"/>
        <w:rPr>
          <w:rFonts w:ascii="Times New Roman"/>
          <w:sz w:val="32"/>
          <w:szCs w:val="32"/>
          <w:highlight w:val="none"/>
        </w:rPr>
      </w:pPr>
    </w:p>
    <w:p>
      <w:pPr>
        <w:tabs>
          <w:tab w:val="left" w:pos="7740"/>
        </w:tabs>
        <w:spacing w:line="500" w:lineRule="exact"/>
        <w:rPr>
          <w:rFonts w:ascii="Times New Roman"/>
          <w:spacing w:val="2"/>
          <w:sz w:val="32"/>
          <w:szCs w:val="32"/>
          <w:highlight w:val="none"/>
        </w:rPr>
      </w:pPr>
      <w:r>
        <w:rPr>
          <w:rFonts w:ascii="Times New Roman"/>
          <w:bCs/>
          <w:sz w:val="32"/>
          <w:szCs w:val="32"/>
          <w:highlight w:val="none"/>
        </w:rPr>
        <w:t>第二部分  投标须知</w:t>
      </w:r>
    </w:p>
    <w:p>
      <w:pPr>
        <w:spacing w:line="500" w:lineRule="exact"/>
        <w:rPr>
          <w:rFonts w:ascii="Times New Roman"/>
          <w:sz w:val="32"/>
          <w:szCs w:val="32"/>
          <w:highlight w:val="none"/>
        </w:rPr>
      </w:pPr>
    </w:p>
    <w:p>
      <w:pPr>
        <w:tabs>
          <w:tab w:val="left" w:pos="7740"/>
        </w:tabs>
        <w:spacing w:line="500" w:lineRule="exact"/>
        <w:rPr>
          <w:rFonts w:ascii="Times New Roman"/>
          <w:spacing w:val="2"/>
          <w:sz w:val="32"/>
          <w:szCs w:val="32"/>
          <w:highlight w:val="none"/>
        </w:rPr>
      </w:pPr>
      <w:r>
        <w:rPr>
          <w:rFonts w:ascii="Times New Roman"/>
          <w:bCs/>
          <w:sz w:val="32"/>
          <w:szCs w:val="32"/>
          <w:highlight w:val="none"/>
        </w:rPr>
        <w:t>第三部分  项目需求说明</w:t>
      </w:r>
    </w:p>
    <w:p>
      <w:pPr>
        <w:pStyle w:val="9"/>
        <w:tabs>
          <w:tab w:val="left" w:pos="7740"/>
          <w:tab w:val="left" w:pos="7920"/>
        </w:tabs>
        <w:spacing w:line="500" w:lineRule="exact"/>
        <w:ind w:left="0"/>
        <w:rPr>
          <w:rFonts w:ascii="Times New Roman" w:eastAsia="宋体"/>
          <w:sz w:val="32"/>
          <w:szCs w:val="32"/>
          <w:highlight w:val="none"/>
        </w:rPr>
      </w:pPr>
    </w:p>
    <w:p>
      <w:pPr>
        <w:tabs>
          <w:tab w:val="left" w:pos="7740"/>
        </w:tabs>
        <w:spacing w:line="500" w:lineRule="exact"/>
        <w:rPr>
          <w:rFonts w:ascii="Times New Roman"/>
          <w:spacing w:val="2"/>
          <w:sz w:val="32"/>
          <w:szCs w:val="32"/>
          <w:highlight w:val="none"/>
        </w:rPr>
      </w:pPr>
      <w:r>
        <w:rPr>
          <w:rFonts w:ascii="Times New Roman"/>
          <w:sz w:val="32"/>
          <w:szCs w:val="32"/>
          <w:highlight w:val="none"/>
        </w:rPr>
        <w:t xml:space="preserve">第四部分  </w:t>
      </w:r>
      <w:r>
        <w:rPr>
          <w:rFonts w:ascii="Times New Roman"/>
          <w:bCs/>
          <w:sz w:val="32"/>
          <w:szCs w:val="32"/>
          <w:highlight w:val="none"/>
        </w:rPr>
        <w:t>开标和评标</w:t>
      </w:r>
    </w:p>
    <w:p>
      <w:pPr>
        <w:spacing w:line="500" w:lineRule="exact"/>
        <w:rPr>
          <w:rFonts w:ascii="Times New Roman"/>
          <w:sz w:val="32"/>
          <w:szCs w:val="32"/>
          <w:highlight w:val="none"/>
        </w:rPr>
      </w:pPr>
    </w:p>
    <w:p>
      <w:pPr>
        <w:tabs>
          <w:tab w:val="left" w:pos="7740"/>
        </w:tabs>
        <w:spacing w:line="500" w:lineRule="exact"/>
        <w:rPr>
          <w:rFonts w:ascii="Times New Roman"/>
          <w:spacing w:val="2"/>
          <w:sz w:val="32"/>
          <w:szCs w:val="32"/>
          <w:highlight w:val="none"/>
        </w:rPr>
      </w:pPr>
      <w:r>
        <w:rPr>
          <w:rFonts w:ascii="Times New Roman"/>
          <w:bCs/>
          <w:sz w:val="32"/>
          <w:szCs w:val="32"/>
          <w:highlight w:val="none"/>
        </w:rPr>
        <w:t>第五部分  合同签订与验收付款</w:t>
      </w:r>
    </w:p>
    <w:p>
      <w:pPr>
        <w:spacing w:line="500" w:lineRule="exact"/>
        <w:rPr>
          <w:rFonts w:ascii="Times New Roman"/>
          <w:sz w:val="32"/>
          <w:szCs w:val="32"/>
          <w:highlight w:val="none"/>
        </w:rPr>
      </w:pPr>
    </w:p>
    <w:p>
      <w:pPr>
        <w:tabs>
          <w:tab w:val="left" w:pos="7740"/>
        </w:tabs>
        <w:spacing w:line="500" w:lineRule="exact"/>
        <w:rPr>
          <w:rFonts w:ascii="Times New Roman"/>
          <w:spacing w:val="2"/>
          <w:sz w:val="32"/>
          <w:szCs w:val="32"/>
          <w:highlight w:val="none"/>
        </w:rPr>
      </w:pPr>
      <w:r>
        <w:rPr>
          <w:rFonts w:ascii="Times New Roman"/>
          <w:bCs/>
          <w:sz w:val="32"/>
          <w:szCs w:val="32"/>
          <w:highlight w:val="none"/>
        </w:rPr>
        <w:t>第六部分  质疑提出和处理</w:t>
      </w:r>
    </w:p>
    <w:p>
      <w:pPr>
        <w:spacing w:line="500" w:lineRule="exact"/>
        <w:rPr>
          <w:rFonts w:ascii="Times New Roman"/>
          <w:sz w:val="32"/>
          <w:szCs w:val="32"/>
          <w:highlight w:val="none"/>
        </w:rPr>
      </w:pPr>
    </w:p>
    <w:p>
      <w:pPr>
        <w:tabs>
          <w:tab w:val="left" w:pos="7740"/>
        </w:tabs>
        <w:spacing w:line="500" w:lineRule="exact"/>
        <w:rPr>
          <w:rFonts w:ascii="Times New Roman"/>
          <w:spacing w:val="2"/>
          <w:sz w:val="32"/>
          <w:szCs w:val="32"/>
          <w:highlight w:val="none"/>
        </w:rPr>
      </w:pPr>
      <w:r>
        <w:rPr>
          <w:rFonts w:ascii="Times New Roman"/>
          <w:bCs/>
          <w:sz w:val="32"/>
          <w:szCs w:val="32"/>
          <w:highlight w:val="none"/>
        </w:rPr>
        <w:t>第七部分  投标文件组成</w:t>
      </w:r>
    </w:p>
    <w:p>
      <w:pPr>
        <w:snapToGrid w:val="0"/>
        <w:spacing w:line="300" w:lineRule="auto"/>
        <w:jc w:val="center"/>
        <w:outlineLvl w:val="0"/>
        <w:rPr>
          <w:rFonts w:ascii="Times New Roman"/>
          <w:b/>
          <w:sz w:val="36"/>
          <w:szCs w:val="36"/>
          <w:highlight w:val="none"/>
        </w:rPr>
      </w:pPr>
      <w:r>
        <w:rPr>
          <w:rFonts w:ascii="Times New Roman"/>
          <w:b/>
          <w:sz w:val="36"/>
          <w:szCs w:val="36"/>
          <w:highlight w:val="none"/>
        </w:rPr>
        <w:br w:type="page"/>
      </w:r>
      <w:r>
        <w:rPr>
          <w:rFonts w:ascii="Times New Roman"/>
          <w:b/>
          <w:sz w:val="36"/>
          <w:szCs w:val="36"/>
          <w:highlight w:val="none"/>
        </w:rPr>
        <w:t xml:space="preserve">第一部分  </w:t>
      </w:r>
      <w:bookmarkStart w:id="0" w:name="OLE_LINK5"/>
      <w:bookmarkStart w:id="1" w:name="OLE_LINK7"/>
      <w:r>
        <w:rPr>
          <w:rFonts w:ascii="Times New Roman"/>
          <w:b/>
          <w:sz w:val="36"/>
          <w:szCs w:val="36"/>
          <w:highlight w:val="none"/>
        </w:rPr>
        <w:t>招标公告</w:t>
      </w:r>
    </w:p>
    <w:bookmarkEnd w:id="0"/>
    <w:bookmarkEnd w:id="1"/>
    <w:p>
      <w:pPr>
        <w:snapToGrid w:val="0"/>
        <w:spacing w:line="480" w:lineRule="exact"/>
        <w:ind w:firstLine="480" w:firstLineChars="200"/>
        <w:rPr>
          <w:rFonts w:ascii="Times New Roman"/>
          <w:highlight w:val="none"/>
        </w:rPr>
      </w:pPr>
      <w:r>
        <w:rPr>
          <w:rFonts w:ascii="Times New Roman"/>
          <w:bCs/>
          <w:highlight w:val="none"/>
        </w:rPr>
        <w:t>项目概况：</w:t>
      </w:r>
      <w:r>
        <w:rPr>
          <w:rFonts w:hint="eastAsia"/>
          <w:highlight w:val="none"/>
          <w:u w:val="single"/>
          <w:lang w:eastAsia="zh-CN"/>
        </w:rPr>
        <w:t>东南大学南通海洋高等研究院财务信息化基础平台建设项目</w:t>
      </w:r>
      <w:r>
        <w:rPr>
          <w:rFonts w:ascii="Times New Roman"/>
          <w:highlight w:val="none"/>
        </w:rPr>
        <w:t>招标项目的潜在投标人应在</w:t>
      </w:r>
      <w:r>
        <w:rPr>
          <w:rFonts w:hint="eastAsia"/>
          <w:highlight w:val="none"/>
          <w:lang w:eastAsia="zh-CN"/>
        </w:rPr>
        <w:t>东南大学南通海洋高等研究院官网</w:t>
      </w:r>
      <w:r>
        <w:rPr>
          <w:rFonts w:ascii="Times New Roman"/>
          <w:highlight w:val="none"/>
        </w:rPr>
        <w:t>获取招标文件，并于</w:t>
      </w:r>
      <w:r>
        <w:rPr>
          <w:rFonts w:hint="eastAsia"/>
          <w:highlight w:val="none"/>
          <w:u w:val="single"/>
        </w:rPr>
        <w:t>202</w:t>
      </w:r>
      <w:r>
        <w:rPr>
          <w:rFonts w:hint="eastAsia"/>
          <w:highlight w:val="none"/>
          <w:u w:val="single"/>
          <w:lang w:val="en-US" w:eastAsia="zh-CN"/>
        </w:rPr>
        <w:t>4</w:t>
      </w:r>
      <w:r>
        <w:rPr>
          <w:highlight w:val="none"/>
          <w:u w:val="single"/>
        </w:rPr>
        <w:t>年</w:t>
      </w:r>
      <w:r>
        <w:rPr>
          <w:rFonts w:hint="eastAsia"/>
          <w:highlight w:val="none"/>
          <w:u w:val="single"/>
          <w:lang w:val="en-US" w:eastAsia="zh-CN"/>
        </w:rPr>
        <w:t>11</w:t>
      </w:r>
      <w:r>
        <w:rPr>
          <w:highlight w:val="none"/>
          <w:u w:val="single"/>
        </w:rPr>
        <w:t>月</w:t>
      </w:r>
      <w:r>
        <w:rPr>
          <w:rFonts w:hint="eastAsia"/>
          <w:highlight w:val="none"/>
          <w:u w:val="single"/>
          <w:lang w:val="en-US" w:eastAsia="zh-CN"/>
        </w:rPr>
        <w:t>1</w:t>
      </w:r>
      <w:r>
        <w:rPr>
          <w:highlight w:val="none"/>
          <w:u w:val="single"/>
        </w:rPr>
        <w:t>日</w:t>
      </w:r>
      <w:r>
        <w:rPr>
          <w:rFonts w:hint="eastAsia"/>
          <w:highlight w:val="none"/>
          <w:u w:val="single"/>
          <w:lang w:val="en-US" w:eastAsia="zh-CN"/>
        </w:rPr>
        <w:t>14</w:t>
      </w:r>
      <w:r>
        <w:rPr>
          <w:highlight w:val="none"/>
          <w:u w:val="single"/>
        </w:rPr>
        <w:t>点</w:t>
      </w:r>
      <w:r>
        <w:rPr>
          <w:rFonts w:hint="eastAsia"/>
          <w:highlight w:val="none"/>
          <w:u w:val="single"/>
          <w:lang w:val="en-US" w:eastAsia="zh-CN"/>
        </w:rPr>
        <w:t>3</w:t>
      </w:r>
      <w:r>
        <w:rPr>
          <w:rFonts w:hint="eastAsia"/>
          <w:highlight w:val="none"/>
          <w:u w:val="single"/>
        </w:rPr>
        <w:t>0</w:t>
      </w:r>
      <w:r>
        <w:rPr>
          <w:highlight w:val="none"/>
          <w:u w:val="single"/>
        </w:rPr>
        <w:t>分</w:t>
      </w:r>
      <w:r>
        <w:rPr>
          <w:rFonts w:ascii="Times New Roman"/>
          <w:highlight w:val="none"/>
        </w:rPr>
        <w:t>（北京时间）前递交投标文件。</w:t>
      </w:r>
    </w:p>
    <w:p>
      <w:pPr>
        <w:snapToGrid w:val="0"/>
        <w:spacing w:line="480" w:lineRule="exact"/>
        <w:ind w:firstLine="480" w:firstLineChars="200"/>
        <w:rPr>
          <w:rFonts w:ascii="Times New Roman"/>
          <w:highlight w:val="none"/>
        </w:rPr>
      </w:pPr>
      <w:r>
        <w:rPr>
          <w:rFonts w:ascii="Times New Roman"/>
          <w:highlight w:val="none"/>
        </w:rPr>
        <w:t> </w:t>
      </w:r>
    </w:p>
    <w:p>
      <w:pPr>
        <w:snapToGrid w:val="0"/>
        <w:spacing w:line="480" w:lineRule="exact"/>
        <w:ind w:firstLine="482" w:firstLineChars="200"/>
        <w:rPr>
          <w:rFonts w:ascii="Times New Roman"/>
          <w:b/>
          <w:highlight w:val="none"/>
        </w:rPr>
      </w:pPr>
      <w:r>
        <w:rPr>
          <w:rFonts w:ascii="Times New Roman"/>
          <w:b/>
          <w:highlight w:val="none"/>
        </w:rPr>
        <w:t xml:space="preserve"> 一、项目基本情况</w:t>
      </w:r>
    </w:p>
    <w:p>
      <w:pPr>
        <w:snapToGrid w:val="0"/>
        <w:spacing w:line="480" w:lineRule="exact"/>
        <w:ind w:firstLine="480" w:firstLineChars="200"/>
        <w:rPr>
          <w:rFonts w:hint="eastAsia" w:ascii="Times New Roman" w:eastAsia="宋体"/>
          <w:highlight w:val="none"/>
          <w:lang w:eastAsia="zh-CN"/>
        </w:rPr>
      </w:pPr>
      <w:r>
        <w:rPr>
          <w:rFonts w:ascii="Times New Roman"/>
          <w:highlight w:val="none"/>
        </w:rPr>
        <w:t>项目名称：</w:t>
      </w:r>
      <w:r>
        <w:rPr>
          <w:rFonts w:hint="eastAsia"/>
          <w:highlight w:val="none"/>
          <w:u w:val="single"/>
          <w:lang w:eastAsia="zh-CN"/>
        </w:rPr>
        <w:t>东南大学南通海洋高等研究院财务信息化基础平台建设项目</w:t>
      </w:r>
    </w:p>
    <w:p>
      <w:pPr>
        <w:snapToGrid w:val="0"/>
        <w:spacing w:line="480" w:lineRule="exact"/>
        <w:ind w:firstLine="480" w:firstLineChars="200"/>
        <w:rPr>
          <w:rFonts w:ascii="Times New Roman"/>
          <w:highlight w:val="none"/>
        </w:rPr>
      </w:pPr>
      <w:r>
        <w:rPr>
          <w:rFonts w:ascii="Times New Roman"/>
          <w:highlight w:val="none"/>
        </w:rPr>
        <w:t>预算金额：</w:t>
      </w:r>
      <w:r>
        <w:rPr>
          <w:rFonts w:hint="eastAsia" w:ascii="Times New Roman"/>
          <w:highlight w:val="none"/>
          <w:u w:val="single"/>
          <w:lang w:val="en-US" w:eastAsia="zh-CN"/>
        </w:rPr>
        <w:t>49.8</w:t>
      </w:r>
      <w:r>
        <w:rPr>
          <w:rFonts w:ascii="Times New Roman"/>
          <w:highlight w:val="none"/>
        </w:rPr>
        <w:t>万元</w:t>
      </w:r>
    </w:p>
    <w:p>
      <w:pPr>
        <w:snapToGrid w:val="0"/>
        <w:spacing w:line="480" w:lineRule="exact"/>
        <w:ind w:firstLine="480" w:firstLineChars="200"/>
        <w:rPr>
          <w:rFonts w:ascii="Times New Roman"/>
          <w:highlight w:val="none"/>
        </w:rPr>
      </w:pPr>
      <w:r>
        <w:rPr>
          <w:rFonts w:ascii="Times New Roman"/>
          <w:highlight w:val="none"/>
        </w:rPr>
        <w:t>最高限价：</w:t>
      </w:r>
      <w:r>
        <w:rPr>
          <w:rFonts w:hint="eastAsia"/>
          <w:highlight w:val="none"/>
          <w:lang w:val="en-US" w:eastAsia="zh-CN"/>
        </w:rPr>
        <w:t>49.8</w:t>
      </w:r>
      <w:r>
        <w:rPr>
          <w:rFonts w:hint="eastAsia"/>
          <w:highlight w:val="none"/>
        </w:rPr>
        <w:t>万元；投标报价不得超过该项目最高限价，否则做无效投标处理。</w:t>
      </w:r>
    </w:p>
    <w:p>
      <w:pPr>
        <w:snapToGrid w:val="0"/>
        <w:spacing w:line="480" w:lineRule="exact"/>
        <w:ind w:firstLine="480" w:firstLineChars="200"/>
        <w:rPr>
          <w:rFonts w:ascii="Times New Roman"/>
          <w:highlight w:val="none"/>
        </w:rPr>
      </w:pPr>
      <w:r>
        <w:rPr>
          <w:rFonts w:ascii="Times New Roman"/>
          <w:highlight w:val="none"/>
        </w:rPr>
        <w:t>采购需求：详见</w:t>
      </w:r>
      <w:r>
        <w:rPr>
          <w:rFonts w:ascii="Times New Roman"/>
          <w:spacing w:val="7"/>
          <w:highlight w:val="none"/>
        </w:rPr>
        <w:t>第三部分</w:t>
      </w:r>
      <w:r>
        <w:rPr>
          <w:rFonts w:ascii="Times New Roman"/>
          <w:highlight w:val="none"/>
        </w:rPr>
        <w:t>项目需求。</w:t>
      </w:r>
    </w:p>
    <w:p>
      <w:pPr>
        <w:snapToGrid w:val="0"/>
        <w:spacing w:line="480" w:lineRule="exact"/>
        <w:ind w:firstLine="480" w:firstLineChars="200"/>
        <w:rPr>
          <w:rFonts w:ascii="Times New Roman"/>
          <w:highlight w:val="none"/>
        </w:rPr>
      </w:pPr>
      <w:r>
        <w:rPr>
          <w:rFonts w:ascii="Times New Roman"/>
          <w:highlight w:val="none"/>
        </w:rPr>
        <w:t>合同履行期限：详见</w:t>
      </w:r>
      <w:r>
        <w:rPr>
          <w:rFonts w:ascii="Times New Roman"/>
          <w:spacing w:val="7"/>
          <w:highlight w:val="none"/>
        </w:rPr>
        <w:t>第三部分</w:t>
      </w:r>
      <w:r>
        <w:rPr>
          <w:rFonts w:ascii="Times New Roman"/>
          <w:highlight w:val="none"/>
        </w:rPr>
        <w:t>项目需求。</w:t>
      </w:r>
    </w:p>
    <w:p>
      <w:pPr>
        <w:snapToGrid w:val="0"/>
        <w:spacing w:line="480" w:lineRule="exact"/>
        <w:ind w:firstLine="480" w:firstLineChars="200"/>
        <w:rPr>
          <w:rFonts w:ascii="Times New Roman"/>
          <w:highlight w:val="none"/>
        </w:rPr>
      </w:pPr>
      <w:r>
        <w:rPr>
          <w:rFonts w:ascii="Times New Roman"/>
          <w:highlight w:val="none"/>
        </w:rPr>
        <w:t>本项目不接受联合体投标。</w:t>
      </w:r>
    </w:p>
    <w:p>
      <w:pPr>
        <w:snapToGrid w:val="0"/>
        <w:spacing w:line="480" w:lineRule="exact"/>
        <w:ind w:firstLine="482" w:firstLineChars="200"/>
        <w:rPr>
          <w:rFonts w:ascii="Times New Roman"/>
          <w:b/>
          <w:highlight w:val="none"/>
        </w:rPr>
      </w:pPr>
      <w:r>
        <w:rPr>
          <w:rFonts w:ascii="Times New Roman"/>
          <w:b/>
          <w:highlight w:val="none"/>
        </w:rPr>
        <w:t>二、申请人的资格要求：</w:t>
      </w:r>
    </w:p>
    <w:p>
      <w:pPr>
        <w:snapToGrid w:val="0"/>
        <w:spacing w:line="480" w:lineRule="exact"/>
        <w:ind w:firstLine="480" w:firstLineChars="200"/>
        <w:rPr>
          <w:rFonts w:ascii="Times New Roman"/>
          <w:highlight w:val="none"/>
        </w:rPr>
      </w:pPr>
      <w:r>
        <w:rPr>
          <w:rFonts w:ascii="Times New Roman"/>
          <w:highlight w:val="none"/>
        </w:rPr>
        <w:t>1.满足《中华人民共和国政府采购法》第二十二条规定；</w:t>
      </w:r>
    </w:p>
    <w:p>
      <w:pPr>
        <w:snapToGrid w:val="0"/>
        <w:spacing w:line="480" w:lineRule="exact"/>
        <w:ind w:firstLine="480" w:firstLineChars="200"/>
        <w:rPr>
          <w:rFonts w:hint="eastAsia" w:ascii="Times New Roman"/>
          <w:highlight w:val="none"/>
        </w:rPr>
      </w:pPr>
      <w:r>
        <w:rPr>
          <w:rFonts w:hint="eastAsia" w:ascii="Times New Roman"/>
          <w:highlight w:val="none"/>
        </w:rPr>
        <w:t>2.未被“信用中国”网站（www.creditchina.gov.cn）、“中国政府采购网”（www.ccgp.gov.cn）列入失信被执行人、重大税收违法案件当事人名单、政府采购严重违法失信行为记录名单；</w:t>
      </w:r>
    </w:p>
    <w:p>
      <w:pPr>
        <w:pStyle w:val="5"/>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kern w:val="0"/>
          <w:sz w:val="24"/>
          <w:szCs w:val="20"/>
          <w:highlight w:val="none"/>
          <w:lang w:val="en-US" w:eastAsia="zh-CN" w:bidi="ar-SA"/>
        </w:rPr>
      </w:pPr>
      <w:r>
        <w:rPr>
          <w:rFonts w:hint="eastAsia" w:ascii="Times New Roman" w:hAnsi="Times New Roman" w:cs="Times New Roman"/>
          <w:kern w:val="0"/>
          <w:sz w:val="24"/>
          <w:szCs w:val="20"/>
          <w:highlight w:val="none"/>
          <w:lang w:val="en-US" w:eastAsia="zh-CN" w:bidi="ar-SA"/>
        </w:rPr>
        <w:t>3</w:t>
      </w:r>
      <w:r>
        <w:rPr>
          <w:rFonts w:ascii="Times New Roman" w:hAnsi="Times New Roman" w:eastAsia="宋体" w:cs="Times New Roman"/>
          <w:kern w:val="0"/>
          <w:sz w:val="24"/>
          <w:szCs w:val="20"/>
          <w:highlight w:val="none"/>
          <w:lang w:val="en-US" w:eastAsia="zh-CN" w:bidi="ar-SA"/>
        </w:rPr>
        <w:t>.本项目的特定资格要求：</w:t>
      </w:r>
      <w:r>
        <w:rPr>
          <w:rFonts w:hint="eastAsia" w:ascii="Times New Roman" w:hAnsi="Times New Roman" w:eastAsia="宋体" w:cs="Times New Roman"/>
          <w:kern w:val="0"/>
          <w:sz w:val="24"/>
          <w:szCs w:val="20"/>
          <w:highlight w:val="none"/>
          <w:lang w:val="en-US" w:eastAsia="zh-CN" w:bidi="ar-SA"/>
        </w:rPr>
        <w:t>无</w:t>
      </w:r>
    </w:p>
    <w:p>
      <w:pPr>
        <w:snapToGrid w:val="0"/>
        <w:spacing w:line="480" w:lineRule="exact"/>
        <w:ind w:firstLine="482" w:firstLineChars="200"/>
        <w:rPr>
          <w:rFonts w:ascii="Times New Roman"/>
          <w:b/>
          <w:highlight w:val="none"/>
        </w:rPr>
      </w:pPr>
      <w:r>
        <w:rPr>
          <w:rFonts w:ascii="Times New Roman"/>
          <w:b/>
          <w:highlight w:val="none"/>
        </w:rPr>
        <w:t>三、获取招标文件</w:t>
      </w:r>
    </w:p>
    <w:p>
      <w:pPr>
        <w:snapToGrid w:val="0"/>
        <w:spacing w:line="480" w:lineRule="exact"/>
        <w:ind w:firstLine="480" w:firstLineChars="200"/>
        <w:rPr>
          <w:rFonts w:ascii="Times New Roman"/>
          <w:highlight w:val="none"/>
        </w:rPr>
      </w:pPr>
      <w:r>
        <w:rPr>
          <w:rFonts w:ascii="Times New Roman"/>
          <w:highlight w:val="none"/>
        </w:rPr>
        <w:t>时间：</w:t>
      </w: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10</w:t>
      </w:r>
      <w:r>
        <w:rPr>
          <w:highlight w:val="none"/>
        </w:rPr>
        <w:t>月</w:t>
      </w:r>
      <w:r>
        <w:rPr>
          <w:rFonts w:hint="eastAsia"/>
          <w:highlight w:val="none"/>
          <w:lang w:val="en-US" w:eastAsia="zh-CN"/>
        </w:rPr>
        <w:t>11</w:t>
      </w:r>
      <w:r>
        <w:rPr>
          <w:highlight w:val="none"/>
        </w:rPr>
        <w:t>日</w:t>
      </w:r>
      <w:r>
        <w:rPr>
          <w:rFonts w:ascii="Times New Roman"/>
          <w:highlight w:val="none"/>
        </w:rPr>
        <w:t>至</w:t>
      </w: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11</w:t>
      </w:r>
      <w:r>
        <w:rPr>
          <w:highlight w:val="none"/>
        </w:rPr>
        <w:t>月</w:t>
      </w:r>
      <w:r>
        <w:rPr>
          <w:rFonts w:hint="eastAsia"/>
          <w:highlight w:val="none"/>
          <w:lang w:val="en-US" w:eastAsia="zh-CN"/>
        </w:rPr>
        <w:t>1</w:t>
      </w:r>
      <w:r>
        <w:rPr>
          <w:highlight w:val="none"/>
        </w:rPr>
        <w:t>日</w:t>
      </w:r>
      <w:r>
        <w:rPr>
          <w:rFonts w:ascii="Times New Roman"/>
          <w:highlight w:val="none"/>
        </w:rPr>
        <w:t>。</w:t>
      </w:r>
    </w:p>
    <w:p>
      <w:pPr>
        <w:snapToGrid w:val="0"/>
        <w:spacing w:line="480" w:lineRule="exact"/>
        <w:ind w:firstLine="480" w:firstLineChars="200"/>
        <w:rPr>
          <w:rFonts w:hint="eastAsia" w:ascii="Times New Roman" w:eastAsia="宋体"/>
          <w:bCs/>
          <w:highlight w:val="none"/>
          <w:lang w:eastAsia="zh-CN"/>
        </w:rPr>
      </w:pPr>
      <w:r>
        <w:rPr>
          <w:rFonts w:ascii="Times New Roman"/>
          <w:highlight w:val="none"/>
        </w:rPr>
        <w:t>地点：</w:t>
      </w:r>
      <w:r>
        <w:rPr>
          <w:rFonts w:hint="eastAsia"/>
          <w:bCs/>
          <w:highlight w:val="none"/>
          <w:lang w:eastAsia="zh-CN"/>
        </w:rPr>
        <w:t>东南大学南通海洋高等研究院官网</w:t>
      </w:r>
    </w:p>
    <w:p>
      <w:pPr>
        <w:snapToGrid w:val="0"/>
        <w:spacing w:line="480" w:lineRule="exact"/>
        <w:ind w:firstLine="480" w:firstLineChars="200"/>
        <w:rPr>
          <w:rFonts w:ascii="Times New Roman"/>
          <w:highlight w:val="none"/>
        </w:rPr>
      </w:pPr>
      <w:r>
        <w:rPr>
          <w:rFonts w:ascii="Times New Roman"/>
          <w:highlight w:val="none"/>
        </w:rPr>
        <w:t>方式：自行下载</w:t>
      </w:r>
    </w:p>
    <w:p>
      <w:pPr>
        <w:snapToGrid w:val="0"/>
        <w:spacing w:line="480" w:lineRule="exact"/>
        <w:ind w:firstLine="482" w:firstLineChars="200"/>
        <w:rPr>
          <w:rFonts w:ascii="Times New Roman"/>
          <w:b/>
          <w:highlight w:val="none"/>
        </w:rPr>
      </w:pPr>
      <w:r>
        <w:rPr>
          <w:rFonts w:ascii="Times New Roman"/>
          <w:b/>
          <w:highlight w:val="none"/>
        </w:rPr>
        <w:t>四、提交投标文件截止时间、开标时间和地点</w:t>
      </w:r>
    </w:p>
    <w:p>
      <w:pPr>
        <w:snapToGrid w:val="0"/>
        <w:spacing w:line="480" w:lineRule="exact"/>
        <w:ind w:firstLine="480" w:firstLineChars="200"/>
        <w:rPr>
          <w:rFonts w:ascii="Times New Roman"/>
          <w:highlight w:val="none"/>
        </w:rPr>
      </w:pPr>
      <w:r>
        <w:rPr>
          <w:rFonts w:hint="eastAsia"/>
          <w:highlight w:val="none"/>
          <w:u w:val="single"/>
        </w:rPr>
        <w:t>202</w:t>
      </w:r>
      <w:r>
        <w:rPr>
          <w:rFonts w:hint="eastAsia"/>
          <w:highlight w:val="none"/>
          <w:u w:val="single"/>
          <w:lang w:val="en-US" w:eastAsia="zh-CN"/>
        </w:rPr>
        <w:t>4</w:t>
      </w:r>
      <w:r>
        <w:rPr>
          <w:highlight w:val="none"/>
          <w:u w:val="single"/>
        </w:rPr>
        <w:t>年</w:t>
      </w:r>
      <w:r>
        <w:rPr>
          <w:rFonts w:hint="eastAsia"/>
          <w:highlight w:val="none"/>
          <w:u w:val="single"/>
          <w:lang w:val="en-US" w:eastAsia="zh-CN"/>
        </w:rPr>
        <w:t>11</w:t>
      </w:r>
      <w:r>
        <w:rPr>
          <w:highlight w:val="none"/>
          <w:u w:val="single"/>
        </w:rPr>
        <w:t>月</w:t>
      </w:r>
      <w:r>
        <w:rPr>
          <w:rFonts w:hint="eastAsia"/>
          <w:highlight w:val="none"/>
          <w:u w:val="single"/>
          <w:lang w:val="en-US" w:eastAsia="zh-CN"/>
        </w:rPr>
        <w:t>1</w:t>
      </w:r>
      <w:r>
        <w:rPr>
          <w:highlight w:val="none"/>
          <w:u w:val="single"/>
        </w:rPr>
        <w:t>日</w:t>
      </w:r>
      <w:r>
        <w:rPr>
          <w:rFonts w:hint="eastAsia"/>
          <w:highlight w:val="none"/>
          <w:u w:val="single"/>
          <w:lang w:val="en-US" w:eastAsia="zh-CN"/>
        </w:rPr>
        <w:t>14</w:t>
      </w:r>
      <w:bookmarkStart w:id="13" w:name="_GoBack"/>
      <w:bookmarkEnd w:id="13"/>
      <w:r>
        <w:rPr>
          <w:highlight w:val="none"/>
          <w:u w:val="single"/>
        </w:rPr>
        <w:t>点</w:t>
      </w:r>
      <w:r>
        <w:rPr>
          <w:rFonts w:hint="eastAsia"/>
          <w:highlight w:val="none"/>
          <w:u w:val="single"/>
          <w:lang w:val="en-US" w:eastAsia="zh-CN"/>
        </w:rPr>
        <w:t>3</w:t>
      </w:r>
      <w:r>
        <w:rPr>
          <w:rFonts w:hint="eastAsia"/>
          <w:highlight w:val="none"/>
          <w:u w:val="single"/>
        </w:rPr>
        <w:t>0</w:t>
      </w:r>
      <w:r>
        <w:rPr>
          <w:highlight w:val="none"/>
          <w:u w:val="single"/>
        </w:rPr>
        <w:t>分</w:t>
      </w:r>
      <w:r>
        <w:rPr>
          <w:rFonts w:ascii="Times New Roman"/>
          <w:highlight w:val="none"/>
        </w:rPr>
        <w:t>（北京时间），逾时拒绝接收投标响应文件。</w:t>
      </w:r>
    </w:p>
    <w:p>
      <w:pPr>
        <w:snapToGrid w:val="0"/>
        <w:spacing w:line="480" w:lineRule="exact"/>
        <w:rPr>
          <w:rFonts w:ascii="Times New Roman"/>
          <w:highlight w:val="none"/>
        </w:rPr>
      </w:pPr>
      <w:r>
        <w:rPr>
          <w:rFonts w:ascii="Times New Roman"/>
          <w:highlight w:val="none"/>
        </w:rPr>
        <w:t>地点：</w:t>
      </w:r>
      <w:r>
        <w:rPr>
          <w:rFonts w:hint="eastAsia" w:ascii="Times New Roman"/>
          <w:highlight w:val="none"/>
          <w:lang w:eastAsia="zh-CN"/>
        </w:rPr>
        <w:t>南通市崇川区桃坞路2号友谊大厦10楼</w:t>
      </w:r>
      <w:r>
        <w:rPr>
          <w:rFonts w:ascii="Times New Roman"/>
          <w:highlight w:val="none"/>
        </w:rPr>
        <w:t>，如有变动另行通知。</w:t>
      </w:r>
    </w:p>
    <w:p>
      <w:pPr>
        <w:snapToGrid w:val="0"/>
        <w:spacing w:line="480" w:lineRule="exact"/>
        <w:ind w:firstLine="482" w:firstLineChars="200"/>
        <w:rPr>
          <w:rFonts w:ascii="Times New Roman"/>
          <w:b/>
          <w:highlight w:val="none"/>
        </w:rPr>
      </w:pPr>
      <w:r>
        <w:rPr>
          <w:rFonts w:ascii="Times New Roman"/>
          <w:b/>
          <w:highlight w:val="none"/>
        </w:rPr>
        <w:t>五、公告期限</w:t>
      </w:r>
    </w:p>
    <w:p>
      <w:pPr>
        <w:snapToGrid w:val="0"/>
        <w:spacing w:line="480" w:lineRule="exact"/>
        <w:ind w:firstLine="480" w:firstLineChars="200"/>
        <w:rPr>
          <w:rFonts w:ascii="Times New Roman"/>
          <w:highlight w:val="none"/>
        </w:rPr>
      </w:pPr>
      <w:r>
        <w:rPr>
          <w:rFonts w:ascii="Times New Roman"/>
          <w:highlight w:val="none"/>
        </w:rPr>
        <w:t>自本公告发布之日起5个工作日。</w:t>
      </w:r>
    </w:p>
    <w:p>
      <w:pPr>
        <w:snapToGrid w:val="0"/>
        <w:spacing w:line="480" w:lineRule="exact"/>
        <w:ind w:firstLine="482" w:firstLineChars="200"/>
        <w:rPr>
          <w:rFonts w:ascii="Times New Roman"/>
          <w:b/>
          <w:highlight w:val="none"/>
        </w:rPr>
      </w:pPr>
      <w:r>
        <w:rPr>
          <w:rFonts w:ascii="Times New Roman"/>
          <w:b/>
          <w:highlight w:val="none"/>
        </w:rPr>
        <w:t>六、其他补充事宜</w:t>
      </w:r>
    </w:p>
    <w:p>
      <w:pPr>
        <w:snapToGrid w:val="0"/>
        <w:spacing w:line="480" w:lineRule="exact"/>
        <w:ind w:firstLine="480" w:firstLineChars="200"/>
        <w:rPr>
          <w:rFonts w:ascii="Times New Roman"/>
          <w:highlight w:val="none"/>
        </w:rPr>
      </w:pPr>
      <w:r>
        <w:rPr>
          <w:rFonts w:ascii="Times New Roman"/>
          <w:highlight w:val="none"/>
        </w:rPr>
        <w:t>1.投标保证金：免收</w:t>
      </w:r>
    </w:p>
    <w:p>
      <w:pPr>
        <w:snapToGrid w:val="0"/>
        <w:spacing w:line="480" w:lineRule="exact"/>
        <w:ind w:firstLine="480" w:firstLineChars="200"/>
        <w:rPr>
          <w:rFonts w:ascii="Times New Roman"/>
          <w:b/>
          <w:highlight w:val="none"/>
        </w:rPr>
      </w:pPr>
      <w:r>
        <w:rPr>
          <w:rFonts w:ascii="Times New Roman"/>
          <w:highlight w:val="none"/>
        </w:rPr>
        <w:t>2.项目开标活动模式：</w:t>
      </w:r>
      <w:r>
        <w:rPr>
          <w:rFonts w:ascii="Times New Roman"/>
          <w:bCs/>
          <w:highlight w:val="none"/>
        </w:rPr>
        <w:t>现场投标模式</w:t>
      </w:r>
    </w:p>
    <w:p>
      <w:pPr>
        <w:snapToGrid/>
        <w:spacing w:line="360" w:lineRule="auto"/>
        <w:ind w:firstLine="480" w:firstLineChars="200"/>
        <w:jc w:val="left"/>
        <w:rPr>
          <w:rFonts w:hint="eastAsia" w:ascii="Times New Roman"/>
          <w:highlight w:val="none"/>
          <w:lang w:val="en-US" w:eastAsia="zh-CN"/>
        </w:rPr>
      </w:pPr>
      <w:r>
        <w:rPr>
          <w:rFonts w:ascii="Times New Roman"/>
          <w:highlight w:val="none"/>
        </w:rPr>
        <w:t>3.项目演示、样品、答辩等：</w:t>
      </w:r>
      <w:r>
        <w:rPr>
          <w:rFonts w:hint="eastAsia" w:ascii="Times New Roman"/>
          <w:highlight w:val="none"/>
          <w:lang w:val="en-US" w:eastAsia="zh-CN"/>
        </w:rPr>
        <w:t>无。</w:t>
      </w:r>
    </w:p>
    <w:p>
      <w:pPr>
        <w:snapToGrid/>
        <w:spacing w:line="360" w:lineRule="auto"/>
        <w:ind w:firstLine="480" w:firstLineChars="200"/>
        <w:jc w:val="left"/>
        <w:rPr>
          <w:rFonts w:ascii="Times New Roman"/>
          <w:highlight w:val="none"/>
        </w:rPr>
      </w:pPr>
      <w:r>
        <w:rPr>
          <w:rFonts w:ascii="Times New Roman"/>
          <w:highlight w:val="none"/>
        </w:rPr>
        <w:t>4.对项目需求部分（供应商其他资格要求、项目需求、评分标准）的询问、质疑请向采购人提出，由采购人负责答复；对项目招标文件其它部分的询问请向采购人或项目联系人提出。</w:t>
      </w:r>
    </w:p>
    <w:p>
      <w:pPr>
        <w:snapToGrid w:val="0"/>
        <w:spacing w:line="480" w:lineRule="exact"/>
        <w:ind w:firstLine="480" w:firstLineChars="200"/>
        <w:rPr>
          <w:rFonts w:ascii="Times New Roman"/>
          <w:highlight w:val="none"/>
        </w:rPr>
      </w:pPr>
      <w:r>
        <w:rPr>
          <w:rFonts w:ascii="Times New Roman"/>
          <w:highlight w:val="none"/>
        </w:rPr>
        <w:t>5.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snapToGrid w:val="0"/>
        <w:spacing w:line="480" w:lineRule="exact"/>
        <w:ind w:firstLine="482" w:firstLineChars="200"/>
        <w:rPr>
          <w:rFonts w:ascii="Times New Roman"/>
          <w:b/>
          <w:highlight w:val="none"/>
        </w:rPr>
      </w:pPr>
      <w:r>
        <w:rPr>
          <w:rFonts w:ascii="Times New Roman"/>
          <w:b/>
          <w:highlight w:val="none"/>
        </w:rPr>
        <w:t>七、对本次招标提出询问，请按以下方式联系。</w:t>
      </w:r>
    </w:p>
    <w:p>
      <w:pPr>
        <w:snapToGrid w:val="0"/>
        <w:spacing w:line="480" w:lineRule="exact"/>
        <w:ind w:firstLine="480" w:firstLineChars="200"/>
        <w:rPr>
          <w:rFonts w:ascii="Times New Roman"/>
          <w:highlight w:val="none"/>
        </w:rPr>
      </w:pPr>
      <w:r>
        <w:rPr>
          <w:rFonts w:ascii="Times New Roman"/>
          <w:highlight w:val="none"/>
        </w:rPr>
        <w:t>1. 采购人信息</w:t>
      </w:r>
    </w:p>
    <w:p>
      <w:pPr>
        <w:snapToGrid w:val="0"/>
        <w:spacing w:line="480" w:lineRule="exact"/>
        <w:ind w:firstLine="480" w:firstLineChars="200"/>
        <w:rPr>
          <w:rFonts w:hint="eastAsia" w:ascii="Times New Roman" w:eastAsia="宋体"/>
          <w:highlight w:val="none"/>
          <w:u w:val="single"/>
          <w:lang w:eastAsia="zh-CN"/>
        </w:rPr>
      </w:pPr>
      <w:r>
        <w:rPr>
          <w:rFonts w:ascii="Times New Roman"/>
          <w:highlight w:val="none"/>
        </w:rPr>
        <w:t xml:space="preserve">名 称： </w:t>
      </w:r>
      <w:r>
        <w:rPr>
          <w:rFonts w:hint="eastAsia"/>
          <w:highlight w:val="none"/>
          <w:lang w:eastAsia="zh-CN"/>
        </w:rPr>
        <w:t>东南大学南通海洋高等研究院</w:t>
      </w:r>
    </w:p>
    <w:p>
      <w:pPr>
        <w:widowControl/>
        <w:shd w:val="clear" w:color="auto" w:fill="FFFFFF"/>
        <w:adjustRightInd w:val="0"/>
        <w:snapToGrid w:val="0"/>
        <w:spacing w:line="480" w:lineRule="exact"/>
        <w:ind w:firstLine="480" w:firstLineChars="200"/>
        <w:jc w:val="left"/>
        <w:rPr>
          <w:rFonts w:ascii="Times New Roman"/>
          <w:highlight w:val="none"/>
        </w:rPr>
      </w:pPr>
      <w:r>
        <w:rPr>
          <w:rFonts w:hint="eastAsia" w:ascii="Times New Roman"/>
          <w:highlight w:val="none"/>
        </w:rPr>
        <w:t>联系方式：左老师   0513-55881608</w:t>
      </w:r>
    </w:p>
    <w:p>
      <w:pPr>
        <w:widowControl/>
        <w:shd w:val="clear" w:color="auto" w:fill="FFFFFF"/>
        <w:adjustRightInd w:val="0"/>
        <w:snapToGrid w:val="0"/>
        <w:spacing w:line="480" w:lineRule="exact"/>
        <w:ind w:firstLine="480" w:firstLineChars="200"/>
        <w:jc w:val="left"/>
        <w:rPr>
          <w:rFonts w:ascii="Times New Roman"/>
          <w:highlight w:val="none"/>
        </w:rPr>
      </w:pPr>
      <w:r>
        <w:rPr>
          <w:rFonts w:ascii="Times New Roman"/>
          <w:highlight w:val="none"/>
        </w:rPr>
        <w:t>2. 采购代理机构信息</w:t>
      </w:r>
    </w:p>
    <w:p>
      <w:pPr>
        <w:widowControl/>
        <w:shd w:val="clear" w:color="auto" w:fill="FFFFFF"/>
        <w:adjustRightInd w:val="0"/>
        <w:snapToGrid w:val="0"/>
        <w:spacing w:line="480" w:lineRule="exact"/>
        <w:ind w:firstLine="480" w:firstLineChars="200"/>
        <w:jc w:val="left"/>
        <w:rPr>
          <w:rFonts w:hint="eastAsia" w:ascii="Times New Roman" w:eastAsia="宋体"/>
          <w:highlight w:val="none"/>
          <w:lang w:eastAsia="zh-CN"/>
        </w:rPr>
      </w:pPr>
      <w:r>
        <w:rPr>
          <w:rFonts w:ascii="Times New Roman"/>
          <w:highlight w:val="none"/>
        </w:rPr>
        <w:t xml:space="preserve">名 称： </w:t>
      </w:r>
      <w:r>
        <w:rPr>
          <w:rFonts w:hint="eastAsia"/>
          <w:highlight w:val="none"/>
          <w:lang w:eastAsia="zh-CN"/>
        </w:rPr>
        <w:t>上海申邑工程咨询有限公司</w:t>
      </w:r>
    </w:p>
    <w:p>
      <w:pPr>
        <w:widowControl/>
        <w:shd w:val="clear" w:color="auto" w:fill="FFFFFF"/>
        <w:adjustRightInd w:val="0"/>
        <w:snapToGrid w:val="0"/>
        <w:spacing w:line="480" w:lineRule="exact"/>
        <w:ind w:firstLine="480" w:firstLineChars="200"/>
        <w:jc w:val="left"/>
        <w:rPr>
          <w:rFonts w:ascii="Times New Roman"/>
          <w:highlight w:val="none"/>
        </w:rPr>
      </w:pPr>
      <w:r>
        <w:rPr>
          <w:rFonts w:ascii="Times New Roman"/>
          <w:highlight w:val="none"/>
        </w:rPr>
        <w:t>地 址：</w:t>
      </w:r>
      <w:r>
        <w:rPr>
          <w:rFonts w:hint="eastAsia"/>
          <w:highlight w:val="none"/>
        </w:rPr>
        <w:t>江苏省南通市桃坞路2号友谊大厦</w:t>
      </w:r>
      <w:r>
        <w:rPr>
          <w:rFonts w:hint="eastAsia"/>
          <w:highlight w:val="none"/>
          <w:lang w:val="en-US" w:eastAsia="zh-CN"/>
        </w:rPr>
        <w:t>10</w:t>
      </w:r>
      <w:r>
        <w:rPr>
          <w:rFonts w:hint="eastAsia"/>
          <w:highlight w:val="none"/>
        </w:rPr>
        <w:t>楼</w:t>
      </w:r>
    </w:p>
    <w:p>
      <w:pPr>
        <w:widowControl/>
        <w:shd w:val="clear" w:color="auto" w:fill="FFFFFF"/>
        <w:adjustRightInd w:val="0"/>
        <w:snapToGrid w:val="0"/>
        <w:spacing w:line="480" w:lineRule="exact"/>
        <w:ind w:firstLine="480" w:firstLineChars="200"/>
        <w:jc w:val="left"/>
        <w:rPr>
          <w:rFonts w:ascii="Times New Roman"/>
          <w:highlight w:val="none"/>
        </w:rPr>
      </w:pPr>
      <w:r>
        <w:rPr>
          <w:rFonts w:ascii="Times New Roman"/>
          <w:highlight w:val="none"/>
        </w:rPr>
        <w:t xml:space="preserve">联系方式： </w:t>
      </w:r>
      <w:r>
        <w:rPr>
          <w:rFonts w:hint="eastAsia"/>
          <w:highlight w:val="none"/>
        </w:rPr>
        <w:t>18012240098</w:t>
      </w:r>
    </w:p>
    <w:p>
      <w:pPr>
        <w:numPr>
          <w:ilvl w:val="0"/>
          <w:numId w:val="1"/>
        </w:numPr>
        <w:adjustRightInd w:val="0"/>
        <w:snapToGrid w:val="0"/>
        <w:spacing w:line="480" w:lineRule="exact"/>
        <w:ind w:firstLine="480" w:firstLineChars="200"/>
        <w:rPr>
          <w:rFonts w:ascii="Times New Roman"/>
          <w:highlight w:val="none"/>
        </w:rPr>
      </w:pPr>
      <w:r>
        <w:rPr>
          <w:rFonts w:ascii="Times New Roman"/>
          <w:highlight w:val="none"/>
        </w:rPr>
        <w:t>项目联系方式</w:t>
      </w:r>
    </w:p>
    <w:p>
      <w:pPr>
        <w:snapToGrid w:val="0"/>
        <w:spacing w:line="480" w:lineRule="exact"/>
        <w:ind w:firstLine="480" w:firstLineChars="200"/>
        <w:rPr>
          <w:rFonts w:hint="default" w:ascii="Times New Roman" w:eastAsia="宋体"/>
          <w:highlight w:val="none"/>
          <w:lang w:val="en-US" w:eastAsia="zh-CN"/>
        </w:rPr>
      </w:pPr>
      <w:r>
        <w:rPr>
          <w:rFonts w:ascii="Times New Roman"/>
          <w:highlight w:val="none"/>
        </w:rPr>
        <w:t xml:space="preserve">招标文件制作人： </w:t>
      </w:r>
      <w:r>
        <w:rPr>
          <w:rFonts w:hint="eastAsia"/>
          <w:highlight w:val="none"/>
          <w:lang w:val="en-US" w:eastAsia="zh-CN"/>
        </w:rPr>
        <w:t>曹杰</w:t>
      </w:r>
    </w:p>
    <w:p>
      <w:pPr>
        <w:snapToGrid w:val="0"/>
        <w:spacing w:line="480" w:lineRule="exact"/>
        <w:ind w:firstLine="480" w:firstLineChars="200"/>
        <w:rPr>
          <w:rFonts w:ascii="Times New Roman"/>
          <w:highlight w:val="none"/>
        </w:rPr>
      </w:pPr>
      <w:r>
        <w:rPr>
          <w:rFonts w:ascii="Times New Roman"/>
          <w:highlight w:val="none"/>
        </w:rPr>
        <w:t xml:space="preserve">电 话： </w:t>
      </w:r>
      <w:r>
        <w:rPr>
          <w:rFonts w:hint="eastAsia"/>
          <w:highlight w:val="none"/>
        </w:rPr>
        <w:t>18012240098</w:t>
      </w:r>
    </w:p>
    <w:p>
      <w:pPr>
        <w:adjustRightInd w:val="0"/>
        <w:snapToGrid w:val="0"/>
        <w:spacing w:line="300" w:lineRule="auto"/>
        <w:contextualSpacing/>
        <w:jc w:val="center"/>
        <w:rPr>
          <w:rFonts w:ascii="Times New Roman"/>
          <w:sz w:val="28"/>
          <w:szCs w:val="28"/>
          <w:highlight w:val="none"/>
        </w:rPr>
      </w:pPr>
      <w:r>
        <w:rPr>
          <w:rFonts w:ascii="Times New Roman"/>
          <w:b/>
          <w:sz w:val="36"/>
          <w:szCs w:val="36"/>
          <w:highlight w:val="none"/>
        </w:rPr>
        <w:br w:type="page"/>
      </w:r>
      <w:r>
        <w:rPr>
          <w:rFonts w:ascii="Times New Roman"/>
          <w:b/>
          <w:sz w:val="36"/>
          <w:szCs w:val="36"/>
          <w:highlight w:val="none"/>
        </w:rPr>
        <w:t>第二部分  投标须知</w:t>
      </w:r>
    </w:p>
    <w:p>
      <w:pPr>
        <w:snapToGrid w:val="0"/>
        <w:spacing w:line="480" w:lineRule="exact"/>
        <w:ind w:firstLine="361" w:firstLineChars="150"/>
        <w:outlineLvl w:val="0"/>
        <w:rPr>
          <w:rFonts w:ascii="Times New Roman"/>
          <w:highlight w:val="none"/>
        </w:rPr>
      </w:pPr>
      <w:r>
        <w:rPr>
          <w:rFonts w:ascii="Times New Roman"/>
          <w:b/>
          <w:highlight w:val="none"/>
        </w:rPr>
        <w:t>一、招标文件由采购人或代理机构解释</w:t>
      </w:r>
      <w:r>
        <w:rPr>
          <w:rFonts w:ascii="Times New Roman"/>
          <w:highlight w:val="none"/>
        </w:rPr>
        <w:t>。</w:t>
      </w:r>
    </w:p>
    <w:p>
      <w:pPr>
        <w:snapToGrid w:val="0"/>
        <w:spacing w:line="480" w:lineRule="exact"/>
        <w:ind w:firstLine="480" w:firstLineChars="200"/>
        <w:rPr>
          <w:rFonts w:ascii="Times New Roman"/>
          <w:highlight w:val="none"/>
        </w:rPr>
      </w:pPr>
      <w:r>
        <w:rPr>
          <w:rFonts w:ascii="Times New Roman"/>
          <w:highlight w:val="none"/>
        </w:rPr>
        <w:t>1、供应商下载招标文件后，应仔细检查招标文件的所有内容，如对政府采购活动事项有疑问的，应在下载招标文件开始之日起3日内以书面形式提出询问或疑问，未在规定的3日内提出询问或疑问的，视同供应商理解并接受本招标文件所有内容，并由此引起的投标损失自负。</w:t>
      </w:r>
    </w:p>
    <w:p>
      <w:pPr>
        <w:snapToGrid w:val="0"/>
        <w:spacing w:line="480" w:lineRule="exact"/>
        <w:ind w:firstLine="480" w:firstLineChars="200"/>
        <w:rPr>
          <w:rFonts w:ascii="Times New Roman"/>
          <w:highlight w:val="none"/>
        </w:rPr>
      </w:pPr>
      <w:r>
        <w:rPr>
          <w:rFonts w:ascii="Times New Roman"/>
          <w:highlight w:val="none"/>
        </w:rPr>
        <w:t>2、投标人应认真审阅招标文件中所有的事项、格式、条款和规范要求等，如果投标人没有按照招标文件要求提交投标文件，或者投标文件没有对招标文件做出实质性响应，其投标将被拒绝，投标人自行承担责任。</w:t>
      </w:r>
    </w:p>
    <w:p>
      <w:pPr>
        <w:snapToGrid w:val="0"/>
        <w:spacing w:line="480" w:lineRule="exact"/>
        <w:ind w:firstLine="482" w:firstLineChars="200"/>
        <w:rPr>
          <w:rFonts w:ascii="Times New Roman"/>
          <w:b/>
          <w:highlight w:val="none"/>
        </w:rPr>
      </w:pPr>
      <w:r>
        <w:rPr>
          <w:rFonts w:ascii="Times New Roman"/>
          <w:b/>
          <w:highlight w:val="none"/>
        </w:rPr>
        <w:t>二、招标文件的澄清、修改、答疑</w:t>
      </w:r>
    </w:p>
    <w:p>
      <w:pPr>
        <w:pStyle w:val="9"/>
        <w:snapToGrid w:val="0"/>
        <w:spacing w:line="480" w:lineRule="exact"/>
        <w:ind w:left="0" w:firstLine="480" w:firstLineChars="200"/>
        <w:rPr>
          <w:rFonts w:ascii="Times New Roman" w:eastAsia="宋体"/>
          <w:sz w:val="24"/>
          <w:szCs w:val="24"/>
          <w:highlight w:val="none"/>
        </w:rPr>
      </w:pPr>
      <w:r>
        <w:rPr>
          <w:rFonts w:ascii="Times New Roman" w:eastAsia="宋体"/>
          <w:sz w:val="24"/>
          <w:szCs w:val="24"/>
          <w:highlight w:val="none"/>
        </w:rPr>
        <w:t>1、采购人有权对发出的招标文件进行必要的澄清或修改。</w:t>
      </w:r>
    </w:p>
    <w:p>
      <w:pPr>
        <w:pStyle w:val="9"/>
        <w:snapToGrid w:val="0"/>
        <w:spacing w:line="480" w:lineRule="exact"/>
        <w:ind w:left="0" w:firstLine="480" w:firstLineChars="200"/>
        <w:rPr>
          <w:rFonts w:ascii="Times New Roman" w:eastAsia="宋体"/>
          <w:sz w:val="24"/>
          <w:szCs w:val="24"/>
          <w:highlight w:val="none"/>
        </w:rPr>
      </w:pPr>
      <w:r>
        <w:rPr>
          <w:rFonts w:ascii="Times New Roman" w:eastAsia="宋体"/>
          <w:sz w:val="24"/>
          <w:szCs w:val="24"/>
          <w:highlight w:val="none"/>
        </w:rPr>
        <w:t>2、采购人可视情取消、延长相关时间。</w:t>
      </w:r>
    </w:p>
    <w:p>
      <w:pPr>
        <w:pStyle w:val="9"/>
        <w:snapToGrid w:val="0"/>
        <w:spacing w:line="480" w:lineRule="exact"/>
        <w:ind w:left="0" w:firstLine="480" w:firstLineChars="200"/>
        <w:rPr>
          <w:rFonts w:ascii="Times New Roman" w:eastAsia="宋体"/>
          <w:sz w:val="24"/>
          <w:szCs w:val="24"/>
          <w:highlight w:val="none"/>
        </w:rPr>
      </w:pPr>
      <w:r>
        <w:rPr>
          <w:rFonts w:ascii="Times New Roman" w:eastAsia="宋体"/>
          <w:sz w:val="24"/>
          <w:szCs w:val="24"/>
          <w:highlight w:val="none"/>
        </w:rPr>
        <w:t>3、采购人对招标文件的澄清、修改将构成招标文件的一部分，对投标人具有约束力。</w:t>
      </w:r>
    </w:p>
    <w:p>
      <w:pPr>
        <w:pStyle w:val="9"/>
        <w:snapToGrid w:val="0"/>
        <w:spacing w:line="480" w:lineRule="exact"/>
        <w:ind w:left="0" w:firstLine="480" w:firstLineChars="200"/>
        <w:rPr>
          <w:rFonts w:ascii="Times New Roman" w:eastAsia="宋体"/>
          <w:sz w:val="24"/>
          <w:szCs w:val="24"/>
          <w:highlight w:val="none"/>
        </w:rPr>
      </w:pPr>
      <w:r>
        <w:rPr>
          <w:rFonts w:ascii="Times New Roman" w:eastAsia="宋体"/>
          <w:sz w:val="24"/>
          <w:szCs w:val="24"/>
          <w:highlight w:val="none"/>
        </w:rPr>
        <w:t>4、投标人由于对招标文件的任何推论和误解以及采购人对有关问题的口头解释所造成的后果，均由投标人自负。</w:t>
      </w:r>
    </w:p>
    <w:p>
      <w:pPr>
        <w:pStyle w:val="9"/>
        <w:snapToGrid w:val="0"/>
        <w:spacing w:line="480" w:lineRule="exact"/>
        <w:ind w:left="0" w:firstLine="480" w:firstLineChars="200"/>
        <w:contextualSpacing/>
        <w:rPr>
          <w:rFonts w:ascii="Times New Roman" w:eastAsia="宋体"/>
          <w:sz w:val="24"/>
          <w:szCs w:val="24"/>
          <w:highlight w:val="none"/>
        </w:rPr>
      </w:pPr>
      <w:r>
        <w:rPr>
          <w:rFonts w:ascii="Times New Roman" w:eastAsia="宋体"/>
          <w:sz w:val="24"/>
          <w:szCs w:val="24"/>
          <w:highlight w:val="none"/>
        </w:rPr>
        <w:t>5、采购人视情组织答疑会。</w:t>
      </w:r>
    </w:p>
    <w:p>
      <w:pPr>
        <w:autoSpaceDE w:val="0"/>
        <w:autoSpaceDN w:val="0"/>
        <w:adjustRightInd w:val="0"/>
        <w:snapToGrid w:val="0"/>
        <w:spacing w:after="120" w:line="480" w:lineRule="exact"/>
        <w:ind w:firstLine="562"/>
        <w:contextualSpacing/>
        <w:rPr>
          <w:rFonts w:ascii="Times New Roman"/>
          <w:b/>
          <w:bCs/>
          <w:highlight w:val="none"/>
        </w:rPr>
      </w:pPr>
      <w:r>
        <w:rPr>
          <w:rFonts w:ascii="Times New Roman"/>
          <w:b/>
          <w:bCs/>
          <w:highlight w:val="none"/>
          <w:lang w:val="zh-CN"/>
        </w:rPr>
        <w:t>三、投标文件的编写、递交、上传</w:t>
      </w:r>
    </w:p>
    <w:p>
      <w:pPr>
        <w:autoSpaceDE w:val="0"/>
        <w:autoSpaceDN w:val="0"/>
        <w:adjustRightInd w:val="0"/>
        <w:snapToGrid w:val="0"/>
        <w:spacing w:line="480" w:lineRule="exact"/>
        <w:ind w:right="210" w:firstLine="560"/>
        <w:rPr>
          <w:rFonts w:ascii="Times New Roman"/>
          <w:b/>
          <w:highlight w:val="none"/>
        </w:rPr>
      </w:pPr>
      <w:r>
        <w:rPr>
          <w:rFonts w:ascii="Times New Roman"/>
          <w:b/>
          <w:highlight w:val="none"/>
        </w:rPr>
        <w:t>（一）投标文件的编写</w:t>
      </w:r>
    </w:p>
    <w:p>
      <w:pPr>
        <w:snapToGrid w:val="0"/>
        <w:spacing w:line="480" w:lineRule="exact"/>
        <w:ind w:firstLine="600" w:firstLineChars="250"/>
        <w:contextualSpacing/>
        <w:rPr>
          <w:rFonts w:ascii="Times New Roman"/>
          <w:highlight w:val="none"/>
        </w:rPr>
      </w:pPr>
      <w:r>
        <w:rPr>
          <w:rFonts w:ascii="Times New Roman"/>
          <w:highlight w:val="none"/>
        </w:rPr>
        <w:t>供应商按“第七部分 投标文件组成”要求编写投标文件。</w:t>
      </w:r>
    </w:p>
    <w:p>
      <w:pPr>
        <w:snapToGrid w:val="0"/>
        <w:spacing w:line="480" w:lineRule="exact"/>
        <w:ind w:firstLine="482" w:firstLineChars="200"/>
        <w:contextualSpacing/>
        <w:rPr>
          <w:rFonts w:ascii="Times New Roman" w:eastAsia="仿宋_GB2312"/>
          <w:b/>
          <w:highlight w:val="none"/>
        </w:rPr>
      </w:pPr>
      <w:r>
        <w:rPr>
          <w:rFonts w:ascii="Times New Roman"/>
          <w:b/>
          <w:highlight w:val="none"/>
        </w:rPr>
        <w:t>（二）投标文件的递交</w:t>
      </w:r>
      <w:r>
        <w:rPr>
          <w:rFonts w:ascii="Times New Roman" w:eastAsia="仿宋_GB2312"/>
          <w:b/>
          <w:sz w:val="28"/>
          <w:szCs w:val="28"/>
          <w:highlight w:val="none"/>
          <w:shd w:val="clear" w:color="auto" w:fill="FFFFFF"/>
        </w:rPr>
        <w:t>（仅现场投标模式适用）</w:t>
      </w:r>
    </w:p>
    <w:p>
      <w:pPr>
        <w:snapToGrid w:val="0"/>
        <w:spacing w:line="480" w:lineRule="exact"/>
        <w:ind w:firstLine="600" w:firstLineChars="250"/>
        <w:contextualSpacing/>
        <w:rPr>
          <w:rFonts w:ascii="Times New Roman"/>
          <w:highlight w:val="none"/>
        </w:rPr>
      </w:pPr>
      <w:r>
        <w:rPr>
          <w:rFonts w:ascii="Times New Roman"/>
          <w:highlight w:val="none"/>
        </w:rPr>
        <w:t>1、投标文件三部分内容（资格审查文件、商务技术文件、报价文件）须分别单独密封，并牢固装订成册，不得相互混淆，文件自编目录并连续标注页码，不得将内容拆开。报价文件不得出现于其他投标文件中。</w:t>
      </w:r>
    </w:p>
    <w:p>
      <w:pPr>
        <w:snapToGrid w:val="0"/>
        <w:spacing w:line="480" w:lineRule="exact"/>
        <w:ind w:firstLine="600" w:firstLineChars="250"/>
        <w:contextualSpacing/>
        <w:rPr>
          <w:rFonts w:ascii="Times New Roman"/>
          <w:highlight w:val="none"/>
        </w:rPr>
      </w:pPr>
      <w:r>
        <w:rPr>
          <w:rFonts w:ascii="Times New Roman"/>
          <w:highlight w:val="none"/>
        </w:rPr>
        <w:t>2、投标文件每一部分内容均须提供“一正、肆副”纸质投标文件，并将正本、副本及图纸类等（如需提供图纸等其它资料的话）合并密封，统一装在一个密封袋或密封箱内（如有A3大小的图纸类，可单独密封）。</w:t>
      </w:r>
    </w:p>
    <w:p>
      <w:pPr>
        <w:snapToGrid w:val="0"/>
        <w:spacing w:line="480" w:lineRule="exact"/>
        <w:ind w:firstLine="600" w:firstLineChars="250"/>
        <w:contextualSpacing/>
        <w:rPr>
          <w:rFonts w:ascii="Times New Roman"/>
          <w:highlight w:val="none"/>
        </w:rPr>
      </w:pPr>
      <w:r>
        <w:rPr>
          <w:rFonts w:ascii="Times New Roman"/>
          <w:highlight w:val="none"/>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pPr>
        <w:snapToGrid w:val="0"/>
        <w:spacing w:line="480" w:lineRule="exact"/>
        <w:ind w:firstLine="600" w:firstLineChars="250"/>
        <w:contextualSpacing/>
        <w:rPr>
          <w:rFonts w:ascii="Times New Roman"/>
          <w:highlight w:val="none"/>
        </w:rPr>
      </w:pPr>
      <w:r>
        <w:rPr>
          <w:rFonts w:ascii="Times New Roman"/>
          <w:highlight w:val="none"/>
        </w:rPr>
        <w:t>4、投标文件密封后应标明投标文件项目名称、项目编号、分包号、边缝处加盖单位骑缝章或骑缝签字。</w:t>
      </w:r>
    </w:p>
    <w:p>
      <w:pPr>
        <w:snapToGrid w:val="0"/>
        <w:spacing w:line="480" w:lineRule="exact"/>
        <w:ind w:firstLine="600" w:firstLineChars="250"/>
        <w:contextualSpacing/>
        <w:rPr>
          <w:rFonts w:ascii="Times New Roman"/>
          <w:highlight w:val="none"/>
        </w:rPr>
      </w:pPr>
      <w:r>
        <w:rPr>
          <w:rFonts w:ascii="Times New Roman"/>
          <w:highlight w:val="none"/>
        </w:rPr>
        <w:t>5、递交时间：供应商须在规定的投标文件接收截止时间前送达指定地点。供应商送达投标文件，即视为已投标参加政府采购活动。</w:t>
      </w:r>
    </w:p>
    <w:p>
      <w:pPr>
        <w:snapToGrid w:val="0"/>
        <w:spacing w:line="480" w:lineRule="exact"/>
        <w:ind w:firstLine="602" w:firstLineChars="250"/>
        <w:contextualSpacing/>
        <w:rPr>
          <w:rFonts w:ascii="Times New Roman"/>
          <w:b/>
          <w:highlight w:val="none"/>
        </w:rPr>
      </w:pPr>
      <w:r>
        <w:rPr>
          <w:rFonts w:ascii="Times New Roman"/>
          <w:b/>
          <w:highlight w:val="none"/>
        </w:rPr>
        <w:t>友情提醒：代理机构将拒绝接收未按照招标文件要求密封的投标文件，拒绝接收在投标文件接收截止时间后递交的投标文件。如果供应商无故不到现场递交纸质投标文件或者故意迟到，影响开评标活动正常进行的，根据《江苏省政府采购信用管理暂行办法》第九条的规定，将被列作一般失信行为。</w:t>
      </w:r>
    </w:p>
    <w:p>
      <w:pPr>
        <w:snapToGrid w:val="0"/>
        <w:spacing w:line="460" w:lineRule="exact"/>
        <w:ind w:firstLine="482" w:firstLineChars="200"/>
        <w:outlineLvl w:val="1"/>
        <w:rPr>
          <w:rFonts w:ascii="Times New Roman"/>
          <w:b/>
          <w:bCs/>
          <w:highlight w:val="none"/>
        </w:rPr>
      </w:pPr>
      <w:r>
        <w:rPr>
          <w:rFonts w:ascii="Times New Roman"/>
          <w:b/>
          <w:bCs/>
          <w:highlight w:val="none"/>
        </w:rPr>
        <w:t>四、投标文件的有效期</w:t>
      </w:r>
    </w:p>
    <w:p>
      <w:pPr>
        <w:snapToGrid w:val="0"/>
        <w:spacing w:line="460" w:lineRule="exact"/>
        <w:ind w:firstLine="480" w:firstLineChars="200"/>
        <w:rPr>
          <w:rFonts w:ascii="Times New Roman"/>
          <w:highlight w:val="none"/>
        </w:rPr>
      </w:pPr>
      <w:r>
        <w:rPr>
          <w:rFonts w:ascii="Times New Roman"/>
          <w:highlight w:val="none"/>
        </w:rPr>
        <w:t>1、从投标文件接收截止之日算起，</w:t>
      </w:r>
      <w:r>
        <w:rPr>
          <w:rFonts w:ascii="Times New Roman"/>
          <w:b/>
          <w:highlight w:val="none"/>
          <w:u w:val="single"/>
        </w:rPr>
        <w:t xml:space="preserve"> </w:t>
      </w:r>
      <w:r>
        <w:rPr>
          <w:rFonts w:hint="eastAsia" w:ascii="Times New Roman"/>
          <w:b/>
          <w:highlight w:val="none"/>
          <w:u w:val="single"/>
        </w:rPr>
        <w:t>45</w:t>
      </w:r>
      <w:r>
        <w:rPr>
          <w:rFonts w:ascii="Times New Roman"/>
          <w:b/>
          <w:highlight w:val="none"/>
          <w:u w:val="single"/>
        </w:rPr>
        <w:t xml:space="preserve"> </w:t>
      </w:r>
      <w:r>
        <w:rPr>
          <w:rFonts w:ascii="Times New Roman"/>
          <w:highlight w:val="none"/>
        </w:rPr>
        <w:t>个“日历天”内投标书应保持有效。有效期短于这个规定期限的，投标将被拒绝。</w:t>
      </w:r>
    </w:p>
    <w:p>
      <w:pPr>
        <w:snapToGrid w:val="0"/>
        <w:spacing w:line="460" w:lineRule="exact"/>
        <w:ind w:firstLine="470" w:firstLineChars="196"/>
        <w:outlineLvl w:val="1"/>
        <w:rPr>
          <w:rFonts w:ascii="Times New Roman"/>
          <w:b/>
          <w:highlight w:val="none"/>
        </w:rPr>
      </w:pPr>
      <w:r>
        <w:rPr>
          <w:rFonts w:ascii="Times New Roman"/>
          <w:highlight w:val="none"/>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480" w:lineRule="exact"/>
        <w:ind w:firstLine="482" w:firstLineChars="200"/>
        <w:contextualSpacing/>
        <w:rPr>
          <w:rFonts w:ascii="Times New Roman"/>
          <w:b/>
          <w:highlight w:val="none"/>
        </w:rPr>
      </w:pPr>
      <w:r>
        <w:rPr>
          <w:rFonts w:ascii="Times New Roman"/>
          <w:b/>
          <w:highlight w:val="none"/>
        </w:rPr>
        <w:t>五、投标报价</w:t>
      </w:r>
    </w:p>
    <w:p>
      <w:pPr>
        <w:pStyle w:val="9"/>
        <w:snapToGrid w:val="0"/>
        <w:spacing w:line="480" w:lineRule="exact"/>
        <w:ind w:left="0" w:firstLine="480" w:firstLineChars="200"/>
        <w:contextualSpacing/>
        <w:rPr>
          <w:rFonts w:ascii="Times New Roman" w:eastAsia="宋体"/>
          <w:b/>
          <w:sz w:val="24"/>
          <w:szCs w:val="24"/>
          <w:highlight w:val="none"/>
        </w:rPr>
      </w:pPr>
      <w:r>
        <w:rPr>
          <w:rFonts w:ascii="Times New Roman" w:eastAsia="宋体"/>
          <w:sz w:val="24"/>
          <w:szCs w:val="24"/>
          <w:highlight w:val="none"/>
        </w:rPr>
        <w:t>一个标的（段）只允许一个报价，不接受任何有选择性的报价。</w:t>
      </w:r>
    </w:p>
    <w:p>
      <w:pPr>
        <w:snapToGrid w:val="0"/>
        <w:spacing w:line="480" w:lineRule="exact"/>
        <w:ind w:firstLine="482" w:firstLineChars="200"/>
        <w:rPr>
          <w:rFonts w:ascii="Times New Roman"/>
          <w:highlight w:val="none"/>
        </w:rPr>
      </w:pPr>
      <w:r>
        <w:rPr>
          <w:rFonts w:ascii="Times New Roman"/>
          <w:b/>
          <w:bCs/>
          <w:highlight w:val="none"/>
        </w:rPr>
        <w:t>六、</w:t>
      </w:r>
      <w:r>
        <w:rPr>
          <w:rFonts w:ascii="Times New Roman"/>
          <w:b/>
          <w:highlight w:val="none"/>
        </w:rPr>
        <w:t>投标</w:t>
      </w:r>
      <w:r>
        <w:rPr>
          <w:rFonts w:ascii="Times New Roman"/>
          <w:b/>
          <w:bCs/>
          <w:highlight w:val="none"/>
        </w:rPr>
        <w:t>费用</w:t>
      </w:r>
    </w:p>
    <w:p>
      <w:pPr>
        <w:spacing w:line="360" w:lineRule="auto"/>
        <w:ind w:firstLine="480" w:firstLineChars="200"/>
        <w:jc w:val="left"/>
        <w:rPr>
          <w:sz w:val="24"/>
          <w:highlight w:val="none"/>
        </w:rPr>
      </w:pPr>
      <w:r>
        <w:rPr>
          <w:sz w:val="24"/>
          <w:highlight w:val="none"/>
        </w:rPr>
        <w:t>1、供应商应承担其编制响应文件以及递交响应文件所涉及的一切费用。招标文件工本费人民币</w:t>
      </w:r>
      <w:r>
        <w:rPr>
          <w:rFonts w:hint="eastAsia"/>
          <w:sz w:val="24"/>
          <w:highlight w:val="none"/>
        </w:rPr>
        <w:t>3</w:t>
      </w:r>
      <w:r>
        <w:rPr>
          <w:sz w:val="24"/>
          <w:highlight w:val="none"/>
        </w:rPr>
        <w:t>00元，开标时向招标代理支付，否则投标文件将不予接收。无论投标结果如何，招标人对上述费用不负任何责任。</w:t>
      </w:r>
    </w:p>
    <w:p>
      <w:pPr>
        <w:spacing w:line="360" w:lineRule="auto"/>
        <w:ind w:firstLine="480" w:firstLineChars="200"/>
        <w:jc w:val="left"/>
        <w:rPr>
          <w:sz w:val="24"/>
          <w:highlight w:val="none"/>
        </w:rPr>
      </w:pPr>
      <w:r>
        <w:rPr>
          <w:rFonts w:hint="eastAsia"/>
          <w:sz w:val="24"/>
          <w:highlight w:val="none"/>
        </w:rPr>
        <w:t>2、响应的供应商自行考虑包含在报价内的该项费用及风险并将其综合在单价内，不得单列。</w:t>
      </w:r>
    </w:p>
    <w:p>
      <w:pPr>
        <w:spacing w:line="360" w:lineRule="auto"/>
        <w:ind w:firstLine="480" w:firstLineChars="200"/>
        <w:jc w:val="left"/>
        <w:rPr>
          <w:bCs/>
          <w:sz w:val="24"/>
          <w:highlight w:val="none"/>
        </w:rPr>
      </w:pPr>
      <w:r>
        <w:rPr>
          <w:rFonts w:hint="eastAsia"/>
          <w:bCs/>
          <w:sz w:val="24"/>
          <w:highlight w:val="none"/>
        </w:rPr>
        <w:t>3、本项目招标代理服务费由成交单位在评标结束时向招标代理一次性支付，招标代理服务费计取标准：参照国家计划委员会下发的《招标代理服务收费管理暂行办法》（计价格【2002】1980号文），按合同总价作为计费基础。</w:t>
      </w:r>
    </w:p>
    <w:p>
      <w:pPr>
        <w:spacing w:line="360" w:lineRule="auto"/>
        <w:ind w:firstLine="480" w:firstLineChars="200"/>
        <w:jc w:val="left"/>
        <w:rPr>
          <w:bCs/>
          <w:sz w:val="24"/>
          <w:highlight w:val="none"/>
        </w:rPr>
      </w:pPr>
      <w:r>
        <w:rPr>
          <w:rFonts w:hint="eastAsia"/>
          <w:bCs/>
          <w:sz w:val="24"/>
          <w:highlight w:val="none"/>
        </w:rPr>
        <w:t xml:space="preserve">4、评审费：按实收取。  </w:t>
      </w:r>
    </w:p>
    <w:p>
      <w:pPr>
        <w:snapToGrid w:val="0"/>
        <w:spacing w:line="480" w:lineRule="exact"/>
        <w:ind w:firstLine="0" w:firstLineChars="0"/>
        <w:rPr>
          <w:rFonts w:ascii="Times New Roman"/>
          <w:highlight w:val="none"/>
        </w:rPr>
      </w:pPr>
    </w:p>
    <w:p>
      <w:pPr>
        <w:snapToGrid w:val="0"/>
        <w:spacing w:line="440" w:lineRule="exact"/>
        <w:ind w:firstLine="482" w:firstLineChars="200"/>
        <w:outlineLvl w:val="1"/>
        <w:rPr>
          <w:rFonts w:ascii="Times New Roman"/>
          <w:highlight w:val="none"/>
        </w:rPr>
      </w:pPr>
      <w:r>
        <w:rPr>
          <w:rFonts w:ascii="Times New Roman"/>
          <w:b/>
          <w:bCs/>
          <w:highlight w:val="none"/>
          <w:lang w:val="zh-CN"/>
        </w:rPr>
        <w:t>七、履约保证金</w:t>
      </w:r>
      <w:r>
        <w:rPr>
          <w:rFonts w:hint="eastAsia" w:ascii="Times New Roman"/>
          <w:b/>
          <w:bCs/>
          <w:highlight w:val="none"/>
          <w:lang w:val="zh-CN"/>
        </w:rPr>
        <w:t>：</w:t>
      </w:r>
      <w:r>
        <w:rPr>
          <w:rFonts w:hint="eastAsia" w:ascii="Times New Roman"/>
          <w:b/>
          <w:bCs/>
          <w:highlight w:val="none"/>
          <w:lang w:val="en-US" w:eastAsia="zh-CN"/>
        </w:rPr>
        <w:t>不收取</w:t>
      </w:r>
      <w:r>
        <w:rPr>
          <w:rFonts w:ascii="Times New Roman"/>
          <w:highlight w:val="none"/>
        </w:rPr>
        <w:t>。</w:t>
      </w:r>
    </w:p>
    <w:p>
      <w:pPr>
        <w:snapToGrid w:val="0"/>
        <w:spacing w:line="440" w:lineRule="exact"/>
        <w:ind w:firstLine="482" w:firstLineChars="200"/>
        <w:outlineLvl w:val="1"/>
        <w:rPr>
          <w:rFonts w:hint="eastAsia" w:ascii="Times New Roman"/>
          <w:b/>
          <w:bCs/>
          <w:szCs w:val="22"/>
          <w:highlight w:val="none"/>
          <w:lang w:val="zh-CN"/>
        </w:rPr>
      </w:pPr>
      <w:r>
        <w:rPr>
          <w:rFonts w:hint="eastAsia" w:ascii="Times New Roman"/>
          <w:b/>
          <w:bCs/>
          <w:szCs w:val="22"/>
          <w:highlight w:val="none"/>
          <w:lang w:val="en-US" w:eastAsia="zh-CN"/>
        </w:rPr>
        <w:t>八、</w:t>
      </w:r>
      <w:r>
        <w:rPr>
          <w:rFonts w:hint="eastAsia" w:ascii="Times New Roman"/>
          <w:b/>
          <w:bCs/>
          <w:szCs w:val="22"/>
          <w:highlight w:val="none"/>
          <w:lang w:val="zh-CN"/>
        </w:rPr>
        <w:t>关于现场勘察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highlight w:val="none"/>
        </w:rPr>
        <w:t>1、招标文件所提供的项目相关数据仅做参考，根据自身需要，供应商可在投标义件递交日前自行实地察看有关现场和对周围环境进行勘察，以获取编制投标文件所需的信息。勘察现场如有费用产生，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highlight w:val="none"/>
        </w:rPr>
        <w:t>2、采购人向供应商提供有关现场的资料和数据，是采购人现有的并认为能使供应商可利用的资料。采购人对供应商由此而做出的推论、理解和结论概不负责。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highlight w:val="none"/>
        </w:rPr>
        <w:t>3、潜在供应商为响应本项目而勘察项目现场，但不得因此使采购人承担有关的责任和蒙受损失。供应商须承担勘察现场而带来的一切责任及风险。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highlight w:val="none"/>
        </w:rPr>
        <w:t>4、供应商应在现场勘察时，熟悉现场及周围交通道路等情况，以获得一切可能影响投标文件内容的直接资料。供应商成交后，不得以不完全了解现场情况为理由而向采购人损出任何索赔的要求，对此采购人不承担任何责任，且不作任何答复。</w:t>
      </w:r>
    </w:p>
    <w:p>
      <w:pPr>
        <w:snapToGrid/>
        <w:spacing w:line="240" w:lineRule="auto"/>
        <w:ind w:firstLine="0"/>
        <w:contextualSpacing w:val="0"/>
        <w:jc w:val="both"/>
        <w:rPr>
          <w:rFonts w:hint="eastAsia"/>
          <w:highlight w:val="none"/>
        </w:rPr>
      </w:pPr>
      <w:r>
        <w:rPr>
          <w:rFonts w:hint="eastAsia"/>
          <w:highlight w:val="none"/>
        </w:rPr>
        <w:br w:type="page"/>
      </w:r>
    </w:p>
    <w:p>
      <w:pPr>
        <w:snapToGrid w:val="0"/>
        <w:spacing w:line="480" w:lineRule="exact"/>
        <w:ind w:firstLine="555"/>
        <w:contextualSpacing/>
        <w:jc w:val="center"/>
        <w:rPr>
          <w:rFonts w:ascii="Times New Roman"/>
          <w:sz w:val="28"/>
          <w:szCs w:val="28"/>
          <w:highlight w:val="none"/>
          <w:u w:val="single"/>
        </w:rPr>
      </w:pPr>
      <w:r>
        <w:rPr>
          <w:rFonts w:ascii="Times New Roman"/>
          <w:b/>
          <w:bCs/>
          <w:sz w:val="36"/>
          <w:szCs w:val="36"/>
          <w:highlight w:val="none"/>
        </w:rPr>
        <w:t>第三部分  项目需求说明</w:t>
      </w:r>
      <w:bookmarkStart w:id="2" w:name="OLE_LINK4"/>
      <w:bookmarkStart w:id="3" w:name="OLE_LINK3"/>
    </w:p>
    <w:p>
      <w:pPr>
        <w:pStyle w:val="20"/>
        <w:snapToGrid w:val="0"/>
        <w:spacing w:line="480" w:lineRule="exact"/>
        <w:ind w:firstLine="482" w:firstLineChars="200"/>
        <w:contextualSpacing/>
        <w:rPr>
          <w:rFonts w:ascii="Times New Roman" w:hAnsi="Times New Roman" w:eastAsia="宋体"/>
          <w:sz w:val="24"/>
          <w:szCs w:val="24"/>
          <w:highlight w:val="none"/>
        </w:rPr>
      </w:pPr>
      <w:r>
        <w:rPr>
          <w:rFonts w:ascii="Times New Roman" w:hAnsi="Times New Roman" w:eastAsia="宋体"/>
          <w:b/>
          <w:sz w:val="24"/>
          <w:szCs w:val="24"/>
          <w:highlight w:val="none"/>
          <w:lang w:val="zh-CN"/>
        </w:rPr>
        <w:t>请投标人在制作投标文件时仔细研究项目需求说明。</w:t>
      </w:r>
      <w:r>
        <w:rPr>
          <w:rFonts w:ascii="Times New Roman" w:hAnsi="Times New Roman" w:eastAsia="宋体"/>
          <w:sz w:val="24"/>
          <w:szCs w:val="24"/>
          <w:highlight w:val="none"/>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w:t>
      </w:r>
      <w:r>
        <w:rPr>
          <w:rFonts w:ascii="Times New Roman" w:hAnsi="Times New Roman" w:eastAsia="宋体"/>
          <w:sz w:val="24"/>
          <w:szCs w:val="24"/>
          <w:highlight w:val="none"/>
        </w:rPr>
        <w:t>务部分正负偏离表》和《技术部分正负偏离表》上明示，如不明示的视同完全响应</w:t>
      </w:r>
      <w:r>
        <w:rPr>
          <w:rFonts w:ascii="Times New Roman" w:hAnsi="Times New Roman" w:eastAsia="宋体"/>
          <w:sz w:val="24"/>
          <w:szCs w:val="24"/>
          <w:highlight w:val="none"/>
          <w:lang w:val="zh-CN"/>
        </w:rPr>
        <w:t>。</w:t>
      </w:r>
    </w:p>
    <w:p>
      <w:pPr>
        <w:keepNext/>
        <w:spacing w:line="360" w:lineRule="auto"/>
        <w:jc w:val="center"/>
        <w:outlineLvl w:val="0"/>
        <w:rPr>
          <w:rFonts w:ascii="Times New Roman" w:hAnsi="Times New Roman" w:cs="Times New Roman"/>
          <w:bCs w:val="0"/>
          <w:sz w:val="24"/>
          <w:szCs w:val="24"/>
          <w:highlight w:val="none"/>
          <w:lang w:val="zh-CN"/>
        </w:rPr>
      </w:pPr>
      <w:r>
        <w:rPr>
          <w:rFonts w:hint="default" w:ascii="Times New Roman" w:hAnsi="Times New Roman" w:cs="Times New Roman"/>
          <w:bCs w:val="0"/>
          <w:sz w:val="24"/>
          <w:szCs w:val="24"/>
          <w:highlight w:val="none"/>
          <w:lang w:val="zh-CN"/>
        </w:rPr>
        <w:t>项目需求及技术参数</w:t>
      </w:r>
    </w:p>
    <w:p>
      <w:pPr>
        <w:spacing w:line="360" w:lineRule="auto"/>
        <w:jc w:val="center"/>
        <w:rPr>
          <w:rFonts w:ascii="Times New Roman" w:hAnsi="Times New Roman" w:cs="Times New Roman"/>
          <w:b w:val="0"/>
          <w:bCs w:val="0"/>
          <w:szCs w:val="24"/>
          <w:highlight w:val="none"/>
          <w:lang w:val="zh-CN"/>
        </w:rPr>
      </w:pPr>
      <w:r>
        <w:rPr>
          <w:rFonts w:hint="default" w:ascii="Times New Roman" w:hAnsi="Times New Roman" w:cs="Times New Roman"/>
          <w:b w:val="0"/>
          <w:bCs w:val="0"/>
          <w:szCs w:val="24"/>
          <w:highlight w:val="none"/>
          <w:lang w:val="zh-CN"/>
        </w:rPr>
        <w:t>采购主要内容</w:t>
      </w:r>
    </w:p>
    <w:p>
      <w:pPr>
        <w:spacing w:line="140" w:lineRule="auto"/>
        <w:rPr>
          <w:rFonts w:ascii="宋体" w:hAnsi="宋体" w:cs="宋体"/>
          <w:sz w:val="2"/>
          <w:highlight w:val="none"/>
        </w:rPr>
      </w:pPr>
    </w:p>
    <w:tbl>
      <w:tblPr>
        <w:tblStyle w:val="24"/>
        <w:tblW w:w="85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534"/>
        <w:gridCol w:w="1153"/>
        <w:gridCol w:w="1034"/>
        <w:gridCol w:w="1206"/>
        <w:gridCol w:w="18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4" w:type="dxa"/>
            <w:vAlign w:val="center"/>
          </w:tcPr>
          <w:p>
            <w:pPr>
              <w:jc w:val="center"/>
              <w:rPr>
                <w:rFonts w:ascii="宋体" w:hAnsi="宋体" w:cs="宋体"/>
                <w:b/>
                <w:bCs/>
                <w:highlight w:val="none"/>
              </w:rPr>
            </w:pPr>
            <w:r>
              <w:rPr>
                <w:rFonts w:hint="eastAsia" w:ascii="宋体" w:hAnsi="宋体" w:cs="宋体"/>
                <w:b/>
                <w:bCs/>
                <w:highlight w:val="none"/>
              </w:rPr>
              <w:t>品目</w:t>
            </w:r>
          </w:p>
        </w:tc>
        <w:tc>
          <w:tcPr>
            <w:tcW w:w="2534" w:type="dxa"/>
            <w:vAlign w:val="center"/>
          </w:tcPr>
          <w:p>
            <w:pPr>
              <w:jc w:val="center"/>
              <w:rPr>
                <w:rFonts w:ascii="宋体" w:hAnsi="宋体" w:cs="宋体"/>
                <w:b/>
                <w:bCs/>
                <w:highlight w:val="none"/>
              </w:rPr>
            </w:pPr>
            <w:r>
              <w:rPr>
                <w:rFonts w:hint="eastAsia" w:ascii="宋体" w:hAnsi="宋体" w:cs="宋体"/>
                <w:b/>
                <w:bCs/>
                <w:highlight w:val="none"/>
              </w:rPr>
              <w:t>名称</w:t>
            </w:r>
          </w:p>
        </w:tc>
        <w:tc>
          <w:tcPr>
            <w:tcW w:w="1153" w:type="dxa"/>
            <w:vAlign w:val="center"/>
          </w:tcPr>
          <w:p>
            <w:pPr>
              <w:jc w:val="center"/>
              <w:rPr>
                <w:rFonts w:ascii="宋体" w:hAnsi="宋体" w:cs="宋体"/>
                <w:b/>
                <w:bCs/>
                <w:highlight w:val="none"/>
              </w:rPr>
            </w:pPr>
            <w:r>
              <w:rPr>
                <w:rFonts w:hint="eastAsia" w:ascii="宋体" w:hAnsi="宋体" w:cs="宋体"/>
                <w:b/>
                <w:bCs/>
                <w:highlight w:val="none"/>
              </w:rPr>
              <w:t>类别</w:t>
            </w:r>
          </w:p>
        </w:tc>
        <w:tc>
          <w:tcPr>
            <w:tcW w:w="1034" w:type="dxa"/>
            <w:vAlign w:val="center"/>
          </w:tcPr>
          <w:p>
            <w:pPr>
              <w:jc w:val="center"/>
              <w:rPr>
                <w:rFonts w:ascii="宋体" w:hAnsi="宋体" w:cs="宋体"/>
                <w:b/>
                <w:bCs/>
                <w:highlight w:val="none"/>
              </w:rPr>
            </w:pPr>
            <w:r>
              <w:rPr>
                <w:rFonts w:hint="eastAsia" w:ascii="宋体" w:hAnsi="宋体" w:cs="宋体"/>
                <w:b/>
                <w:bCs/>
                <w:highlight w:val="none"/>
              </w:rPr>
              <w:t>需求数量</w:t>
            </w:r>
          </w:p>
        </w:tc>
        <w:tc>
          <w:tcPr>
            <w:tcW w:w="1206" w:type="dxa"/>
            <w:vAlign w:val="center"/>
          </w:tcPr>
          <w:p>
            <w:pPr>
              <w:jc w:val="center"/>
              <w:rPr>
                <w:rFonts w:ascii="宋体" w:hAnsi="宋体" w:cs="宋体"/>
                <w:b/>
                <w:bCs/>
                <w:highlight w:val="none"/>
              </w:rPr>
            </w:pPr>
            <w:r>
              <w:rPr>
                <w:rFonts w:hint="eastAsia" w:ascii="宋体" w:hAnsi="宋体" w:cs="宋体"/>
                <w:b/>
                <w:bCs/>
                <w:highlight w:val="none"/>
              </w:rPr>
              <w:t>单位</w:t>
            </w:r>
          </w:p>
        </w:tc>
        <w:tc>
          <w:tcPr>
            <w:tcW w:w="1889" w:type="dxa"/>
            <w:vAlign w:val="center"/>
          </w:tcPr>
          <w:p>
            <w:pPr>
              <w:jc w:val="center"/>
              <w:rPr>
                <w:rFonts w:ascii="宋体" w:hAnsi="宋体" w:cs="宋体"/>
                <w:b/>
                <w:bCs/>
                <w:highlight w:val="none"/>
              </w:rPr>
            </w:pPr>
            <w:r>
              <w:rPr>
                <w:rFonts w:hint="eastAsia" w:ascii="宋体" w:hAnsi="宋体" w:cs="宋体"/>
                <w:b/>
                <w:bCs/>
                <w:highlight w:val="none"/>
              </w:rPr>
              <w:t>部署位置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714" w:type="dxa"/>
            <w:vAlign w:val="center"/>
          </w:tcPr>
          <w:p>
            <w:pPr>
              <w:jc w:val="center"/>
              <w:rPr>
                <w:rFonts w:ascii="宋体" w:hAnsi="宋体" w:cs="宋体"/>
                <w:highlight w:val="none"/>
              </w:rPr>
            </w:pPr>
            <w:r>
              <w:rPr>
                <w:rFonts w:hint="eastAsia" w:ascii="宋体" w:hAnsi="宋体" w:cs="宋体"/>
                <w:highlight w:val="none"/>
              </w:rPr>
              <w:t>1</w:t>
            </w:r>
          </w:p>
        </w:tc>
        <w:tc>
          <w:tcPr>
            <w:tcW w:w="2534" w:type="dxa"/>
            <w:vAlign w:val="center"/>
          </w:tcPr>
          <w:p>
            <w:pPr>
              <w:jc w:val="center"/>
              <w:rPr>
                <w:rFonts w:ascii="宋体" w:hAnsi="宋体" w:cs="宋体"/>
                <w:b/>
                <w:bCs/>
                <w:highlight w:val="none"/>
              </w:rPr>
            </w:pPr>
            <w:r>
              <w:rPr>
                <w:rFonts w:hint="eastAsia" w:ascii="宋体" w:hAnsi="宋体" w:cs="宋体"/>
                <w:highlight w:val="none"/>
              </w:rPr>
              <w:t>财务管理软件</w:t>
            </w:r>
          </w:p>
        </w:tc>
        <w:tc>
          <w:tcPr>
            <w:tcW w:w="1153" w:type="dxa"/>
            <w:vAlign w:val="center"/>
          </w:tcPr>
          <w:p>
            <w:pPr>
              <w:jc w:val="center"/>
              <w:rPr>
                <w:rFonts w:ascii="宋体" w:hAnsi="宋体" w:cs="宋体"/>
                <w:highlight w:val="none"/>
              </w:rPr>
            </w:pPr>
            <w:r>
              <w:rPr>
                <w:rFonts w:hint="eastAsia" w:ascii="宋体" w:hAnsi="宋体" w:cs="宋体"/>
                <w:highlight w:val="none"/>
              </w:rPr>
              <w:t>无形资产</w:t>
            </w:r>
          </w:p>
        </w:tc>
        <w:tc>
          <w:tcPr>
            <w:tcW w:w="1034" w:type="dxa"/>
            <w:vAlign w:val="center"/>
          </w:tcPr>
          <w:p>
            <w:pPr>
              <w:jc w:val="center"/>
              <w:rPr>
                <w:rFonts w:ascii="宋体" w:hAnsi="宋体" w:cs="宋体"/>
                <w:highlight w:val="none"/>
              </w:rPr>
            </w:pPr>
            <w:r>
              <w:rPr>
                <w:rFonts w:hint="eastAsia" w:ascii="宋体" w:hAnsi="宋体" w:cs="宋体"/>
                <w:highlight w:val="none"/>
              </w:rPr>
              <w:t>1</w:t>
            </w:r>
          </w:p>
        </w:tc>
        <w:tc>
          <w:tcPr>
            <w:tcW w:w="1206" w:type="dxa"/>
            <w:vAlign w:val="center"/>
          </w:tcPr>
          <w:p>
            <w:pPr>
              <w:jc w:val="center"/>
              <w:rPr>
                <w:rFonts w:ascii="宋体" w:hAnsi="宋体" w:cs="宋体"/>
                <w:highlight w:val="none"/>
              </w:rPr>
            </w:pPr>
            <w:r>
              <w:rPr>
                <w:rFonts w:hint="eastAsia" w:ascii="宋体" w:hAnsi="宋体" w:cs="宋体"/>
                <w:highlight w:val="none"/>
              </w:rPr>
              <w:t>套</w:t>
            </w:r>
          </w:p>
        </w:tc>
        <w:tc>
          <w:tcPr>
            <w:tcW w:w="1889" w:type="dxa"/>
            <w:vAlign w:val="center"/>
          </w:tcPr>
          <w:p>
            <w:pPr>
              <w:jc w:val="center"/>
              <w:rPr>
                <w:rFonts w:ascii="宋体" w:hAnsi="宋体" w:cs="宋体"/>
                <w:highlight w:val="none"/>
              </w:rPr>
            </w:pPr>
            <w:r>
              <w:rPr>
                <w:rFonts w:hint="eastAsia" w:ascii="宋体" w:hAnsi="宋体" w:cs="宋体"/>
                <w:highlight w:val="none"/>
              </w:rPr>
              <w:t>东南大学南通海洋高等研究院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714" w:type="dxa"/>
            <w:vAlign w:val="center"/>
          </w:tcPr>
          <w:p>
            <w:pPr>
              <w:jc w:val="center"/>
              <w:rPr>
                <w:rFonts w:ascii="宋体" w:hAnsi="宋体" w:cs="宋体"/>
                <w:highlight w:val="none"/>
              </w:rPr>
            </w:pPr>
            <w:r>
              <w:rPr>
                <w:rFonts w:hint="eastAsia" w:ascii="宋体" w:hAnsi="宋体" w:cs="宋体"/>
                <w:highlight w:val="none"/>
              </w:rPr>
              <w:t>2</w:t>
            </w:r>
          </w:p>
        </w:tc>
        <w:tc>
          <w:tcPr>
            <w:tcW w:w="2534" w:type="dxa"/>
            <w:vAlign w:val="center"/>
          </w:tcPr>
          <w:p>
            <w:pPr>
              <w:jc w:val="center"/>
              <w:rPr>
                <w:rFonts w:ascii="宋体" w:hAnsi="宋体" w:cs="宋体"/>
                <w:highlight w:val="none"/>
              </w:rPr>
            </w:pPr>
            <w:r>
              <w:rPr>
                <w:rFonts w:hint="eastAsia" w:ascii="宋体" w:hAnsi="宋体" w:cs="宋体"/>
                <w:highlight w:val="none"/>
              </w:rPr>
              <w:t>工资薪金管理软件</w:t>
            </w:r>
          </w:p>
        </w:tc>
        <w:tc>
          <w:tcPr>
            <w:tcW w:w="1153" w:type="dxa"/>
            <w:vAlign w:val="center"/>
          </w:tcPr>
          <w:p>
            <w:pPr>
              <w:jc w:val="center"/>
              <w:rPr>
                <w:rFonts w:ascii="宋体" w:hAnsi="宋体" w:cs="宋体"/>
                <w:highlight w:val="none"/>
              </w:rPr>
            </w:pPr>
            <w:r>
              <w:rPr>
                <w:rFonts w:hint="eastAsia" w:ascii="宋体" w:hAnsi="宋体" w:cs="宋体"/>
                <w:highlight w:val="none"/>
              </w:rPr>
              <w:t>无形资产</w:t>
            </w:r>
          </w:p>
        </w:tc>
        <w:tc>
          <w:tcPr>
            <w:tcW w:w="1034" w:type="dxa"/>
            <w:vAlign w:val="center"/>
          </w:tcPr>
          <w:p>
            <w:pPr>
              <w:jc w:val="center"/>
              <w:rPr>
                <w:rFonts w:ascii="宋体" w:hAnsi="宋体" w:cs="宋体"/>
                <w:highlight w:val="none"/>
              </w:rPr>
            </w:pPr>
            <w:r>
              <w:rPr>
                <w:rFonts w:hint="eastAsia" w:ascii="宋体" w:hAnsi="宋体" w:cs="宋体"/>
                <w:highlight w:val="none"/>
              </w:rPr>
              <w:t>1</w:t>
            </w:r>
          </w:p>
        </w:tc>
        <w:tc>
          <w:tcPr>
            <w:tcW w:w="1206" w:type="dxa"/>
            <w:vAlign w:val="center"/>
          </w:tcPr>
          <w:p>
            <w:pPr>
              <w:jc w:val="center"/>
              <w:rPr>
                <w:rFonts w:ascii="宋体" w:hAnsi="宋体" w:cs="宋体"/>
                <w:highlight w:val="none"/>
              </w:rPr>
            </w:pPr>
            <w:r>
              <w:rPr>
                <w:rFonts w:hint="eastAsia" w:ascii="宋体" w:hAnsi="宋体" w:cs="宋体"/>
                <w:highlight w:val="none"/>
              </w:rPr>
              <w:t>套</w:t>
            </w:r>
          </w:p>
        </w:tc>
        <w:tc>
          <w:tcPr>
            <w:tcW w:w="1889" w:type="dxa"/>
            <w:vAlign w:val="center"/>
          </w:tcPr>
          <w:p>
            <w:pPr>
              <w:jc w:val="center"/>
              <w:rPr>
                <w:rFonts w:ascii="宋体" w:hAnsi="宋体" w:cs="宋体"/>
                <w:highlight w:val="none"/>
              </w:rPr>
            </w:pPr>
            <w:r>
              <w:rPr>
                <w:rFonts w:hint="eastAsia" w:ascii="宋体" w:hAnsi="宋体" w:cs="宋体"/>
                <w:highlight w:val="none"/>
              </w:rPr>
              <w:t>东南大学南通海洋高等研究院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714" w:type="dxa"/>
            <w:vAlign w:val="center"/>
          </w:tcPr>
          <w:p>
            <w:pPr>
              <w:jc w:val="center"/>
              <w:rPr>
                <w:rFonts w:ascii="宋体" w:hAnsi="宋体" w:cs="宋体"/>
                <w:highlight w:val="none"/>
              </w:rPr>
            </w:pPr>
            <w:r>
              <w:rPr>
                <w:rFonts w:hint="eastAsia" w:ascii="宋体" w:hAnsi="宋体" w:cs="宋体"/>
                <w:highlight w:val="none"/>
              </w:rPr>
              <w:t>3</w:t>
            </w:r>
          </w:p>
        </w:tc>
        <w:tc>
          <w:tcPr>
            <w:tcW w:w="2534" w:type="dxa"/>
            <w:vAlign w:val="center"/>
          </w:tcPr>
          <w:p>
            <w:pPr>
              <w:jc w:val="center"/>
              <w:rPr>
                <w:rFonts w:ascii="宋体" w:hAnsi="宋体" w:cs="宋体"/>
                <w:highlight w:val="none"/>
              </w:rPr>
            </w:pPr>
            <w:r>
              <w:rPr>
                <w:rFonts w:hint="eastAsia" w:ascii="宋体" w:hAnsi="宋体" w:cs="宋体"/>
                <w:highlight w:val="none"/>
              </w:rPr>
              <w:t>网上查询软件</w:t>
            </w:r>
          </w:p>
        </w:tc>
        <w:tc>
          <w:tcPr>
            <w:tcW w:w="1153" w:type="dxa"/>
            <w:vAlign w:val="center"/>
          </w:tcPr>
          <w:p>
            <w:pPr>
              <w:jc w:val="center"/>
              <w:rPr>
                <w:rFonts w:ascii="宋体" w:hAnsi="宋体" w:cs="宋体"/>
                <w:highlight w:val="none"/>
              </w:rPr>
            </w:pPr>
            <w:r>
              <w:rPr>
                <w:rFonts w:hint="eastAsia" w:ascii="宋体" w:hAnsi="宋体" w:cs="宋体"/>
                <w:highlight w:val="none"/>
              </w:rPr>
              <w:t>无形资产</w:t>
            </w:r>
          </w:p>
        </w:tc>
        <w:tc>
          <w:tcPr>
            <w:tcW w:w="1034" w:type="dxa"/>
            <w:vAlign w:val="center"/>
          </w:tcPr>
          <w:p>
            <w:pPr>
              <w:jc w:val="center"/>
              <w:rPr>
                <w:rFonts w:ascii="宋体" w:hAnsi="宋体" w:cs="宋体"/>
                <w:highlight w:val="none"/>
              </w:rPr>
            </w:pPr>
            <w:r>
              <w:rPr>
                <w:rFonts w:hint="eastAsia" w:ascii="宋体" w:hAnsi="宋体" w:cs="宋体"/>
                <w:highlight w:val="none"/>
              </w:rPr>
              <w:t>1</w:t>
            </w:r>
          </w:p>
        </w:tc>
        <w:tc>
          <w:tcPr>
            <w:tcW w:w="1206" w:type="dxa"/>
            <w:vAlign w:val="center"/>
          </w:tcPr>
          <w:p>
            <w:pPr>
              <w:jc w:val="center"/>
              <w:rPr>
                <w:rFonts w:ascii="宋体" w:hAnsi="宋体" w:cs="宋体"/>
                <w:highlight w:val="none"/>
              </w:rPr>
            </w:pPr>
            <w:r>
              <w:rPr>
                <w:rFonts w:hint="eastAsia" w:ascii="宋体" w:hAnsi="宋体" w:cs="宋体"/>
                <w:highlight w:val="none"/>
              </w:rPr>
              <w:t>套</w:t>
            </w:r>
          </w:p>
        </w:tc>
        <w:tc>
          <w:tcPr>
            <w:tcW w:w="1889" w:type="dxa"/>
            <w:vAlign w:val="center"/>
          </w:tcPr>
          <w:p>
            <w:pPr>
              <w:jc w:val="center"/>
              <w:rPr>
                <w:rFonts w:ascii="宋体" w:hAnsi="宋体" w:cs="宋体"/>
                <w:highlight w:val="none"/>
              </w:rPr>
            </w:pPr>
            <w:r>
              <w:rPr>
                <w:rFonts w:hint="eastAsia" w:ascii="宋体" w:hAnsi="宋体" w:cs="宋体"/>
                <w:highlight w:val="none"/>
              </w:rPr>
              <w:t>东南大学南通海洋高等研究院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714" w:type="dxa"/>
            <w:vAlign w:val="center"/>
          </w:tcPr>
          <w:p>
            <w:pPr>
              <w:jc w:val="center"/>
              <w:rPr>
                <w:rFonts w:ascii="宋体" w:hAnsi="宋体" w:cs="宋体"/>
                <w:highlight w:val="none"/>
              </w:rPr>
            </w:pPr>
            <w:r>
              <w:rPr>
                <w:rFonts w:hint="eastAsia" w:ascii="宋体" w:hAnsi="宋体" w:cs="宋体"/>
                <w:highlight w:val="none"/>
              </w:rPr>
              <w:t>4</w:t>
            </w:r>
          </w:p>
        </w:tc>
        <w:tc>
          <w:tcPr>
            <w:tcW w:w="2534" w:type="dxa"/>
            <w:vAlign w:val="center"/>
          </w:tcPr>
          <w:p>
            <w:pPr>
              <w:jc w:val="center"/>
              <w:rPr>
                <w:rFonts w:ascii="宋体" w:hAnsi="宋体" w:cs="宋体"/>
                <w:highlight w:val="none"/>
              </w:rPr>
            </w:pPr>
            <w:r>
              <w:rPr>
                <w:rFonts w:hint="eastAsia" w:ascii="宋体" w:hAnsi="宋体" w:cs="宋体"/>
                <w:highlight w:val="none"/>
              </w:rPr>
              <w:t>网上预约报账软件</w:t>
            </w:r>
          </w:p>
        </w:tc>
        <w:tc>
          <w:tcPr>
            <w:tcW w:w="1153" w:type="dxa"/>
            <w:shd w:val="clear" w:color="auto" w:fill="auto"/>
            <w:vAlign w:val="center"/>
          </w:tcPr>
          <w:p>
            <w:pPr>
              <w:jc w:val="center"/>
              <w:rPr>
                <w:rFonts w:ascii="宋体" w:hAnsi="宋体" w:cs="宋体"/>
                <w:highlight w:val="none"/>
              </w:rPr>
            </w:pPr>
            <w:r>
              <w:rPr>
                <w:rFonts w:hint="eastAsia" w:ascii="宋体" w:hAnsi="宋体" w:cs="宋体"/>
                <w:highlight w:val="none"/>
              </w:rPr>
              <w:t>无形资产</w:t>
            </w:r>
          </w:p>
        </w:tc>
        <w:tc>
          <w:tcPr>
            <w:tcW w:w="1034" w:type="dxa"/>
            <w:shd w:val="clear" w:color="auto" w:fill="auto"/>
            <w:vAlign w:val="center"/>
          </w:tcPr>
          <w:p>
            <w:pPr>
              <w:jc w:val="center"/>
              <w:rPr>
                <w:rFonts w:ascii="宋体" w:hAnsi="宋体" w:cs="宋体"/>
                <w:highlight w:val="none"/>
              </w:rPr>
            </w:pPr>
            <w:r>
              <w:rPr>
                <w:rFonts w:hint="eastAsia" w:ascii="宋体" w:hAnsi="宋体" w:cs="宋体"/>
                <w:highlight w:val="none"/>
              </w:rPr>
              <w:t>1</w:t>
            </w:r>
          </w:p>
        </w:tc>
        <w:tc>
          <w:tcPr>
            <w:tcW w:w="1206" w:type="dxa"/>
            <w:shd w:val="clear" w:color="auto" w:fill="auto"/>
            <w:vAlign w:val="center"/>
          </w:tcPr>
          <w:p>
            <w:pPr>
              <w:jc w:val="center"/>
              <w:rPr>
                <w:rFonts w:ascii="宋体" w:hAnsi="宋体" w:cs="宋体"/>
                <w:highlight w:val="none"/>
              </w:rPr>
            </w:pPr>
            <w:r>
              <w:rPr>
                <w:rFonts w:hint="eastAsia" w:ascii="宋体" w:hAnsi="宋体" w:cs="宋体"/>
                <w:highlight w:val="none"/>
              </w:rPr>
              <w:t>套</w:t>
            </w:r>
          </w:p>
        </w:tc>
        <w:tc>
          <w:tcPr>
            <w:tcW w:w="1889" w:type="dxa"/>
            <w:shd w:val="clear" w:color="auto" w:fill="auto"/>
            <w:vAlign w:val="center"/>
          </w:tcPr>
          <w:p>
            <w:pPr>
              <w:jc w:val="center"/>
              <w:rPr>
                <w:rFonts w:ascii="宋体" w:hAnsi="宋体" w:cs="宋体"/>
                <w:highlight w:val="none"/>
              </w:rPr>
            </w:pPr>
            <w:r>
              <w:rPr>
                <w:rFonts w:hint="eastAsia" w:ascii="宋体" w:hAnsi="宋体" w:cs="宋体"/>
                <w:highlight w:val="none"/>
              </w:rPr>
              <w:t>东南大学南通海洋高等研究院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714" w:type="dxa"/>
            <w:vAlign w:val="center"/>
          </w:tcPr>
          <w:p>
            <w:pPr>
              <w:jc w:val="center"/>
              <w:rPr>
                <w:rFonts w:ascii="宋体" w:hAnsi="宋体" w:cs="宋体"/>
                <w:highlight w:val="none"/>
              </w:rPr>
            </w:pPr>
            <w:r>
              <w:rPr>
                <w:rFonts w:hint="eastAsia" w:ascii="宋体" w:hAnsi="宋体" w:cs="宋体"/>
                <w:highlight w:val="none"/>
              </w:rPr>
              <w:t>5</w:t>
            </w:r>
          </w:p>
        </w:tc>
        <w:tc>
          <w:tcPr>
            <w:tcW w:w="2534" w:type="dxa"/>
            <w:vAlign w:val="center"/>
          </w:tcPr>
          <w:p>
            <w:pPr>
              <w:jc w:val="center"/>
              <w:rPr>
                <w:rFonts w:ascii="宋体" w:hAnsi="宋体" w:cs="宋体"/>
                <w:highlight w:val="none"/>
              </w:rPr>
            </w:pPr>
            <w:r>
              <w:rPr>
                <w:rFonts w:hint="eastAsia" w:ascii="宋体" w:hAnsi="宋体" w:cs="宋体"/>
                <w:highlight w:val="none"/>
              </w:rPr>
              <w:t>网上签批软件</w:t>
            </w:r>
          </w:p>
        </w:tc>
        <w:tc>
          <w:tcPr>
            <w:tcW w:w="1153" w:type="dxa"/>
            <w:shd w:val="clear" w:color="auto" w:fill="auto"/>
            <w:vAlign w:val="center"/>
          </w:tcPr>
          <w:p>
            <w:pPr>
              <w:jc w:val="center"/>
              <w:rPr>
                <w:rFonts w:ascii="宋体" w:hAnsi="宋体" w:cs="宋体"/>
                <w:highlight w:val="none"/>
              </w:rPr>
            </w:pPr>
            <w:r>
              <w:rPr>
                <w:rFonts w:hint="eastAsia" w:ascii="宋体" w:hAnsi="宋体" w:cs="宋体"/>
                <w:highlight w:val="none"/>
              </w:rPr>
              <w:t>无形资产</w:t>
            </w:r>
          </w:p>
        </w:tc>
        <w:tc>
          <w:tcPr>
            <w:tcW w:w="1034" w:type="dxa"/>
            <w:shd w:val="clear" w:color="auto" w:fill="auto"/>
            <w:vAlign w:val="center"/>
          </w:tcPr>
          <w:p>
            <w:pPr>
              <w:jc w:val="center"/>
              <w:rPr>
                <w:rFonts w:ascii="宋体" w:hAnsi="宋体" w:cs="宋体"/>
                <w:highlight w:val="none"/>
              </w:rPr>
            </w:pPr>
            <w:r>
              <w:rPr>
                <w:rFonts w:hint="eastAsia" w:ascii="宋体" w:hAnsi="宋体" w:cs="宋体"/>
                <w:highlight w:val="none"/>
              </w:rPr>
              <w:t>1</w:t>
            </w:r>
          </w:p>
        </w:tc>
        <w:tc>
          <w:tcPr>
            <w:tcW w:w="1206" w:type="dxa"/>
            <w:shd w:val="clear" w:color="auto" w:fill="auto"/>
            <w:vAlign w:val="center"/>
          </w:tcPr>
          <w:p>
            <w:pPr>
              <w:jc w:val="center"/>
              <w:rPr>
                <w:rFonts w:ascii="宋体" w:hAnsi="宋体" w:cs="宋体"/>
                <w:highlight w:val="none"/>
              </w:rPr>
            </w:pPr>
            <w:r>
              <w:rPr>
                <w:rFonts w:hint="eastAsia" w:ascii="宋体" w:hAnsi="宋体" w:cs="宋体"/>
                <w:highlight w:val="none"/>
              </w:rPr>
              <w:t>套</w:t>
            </w:r>
          </w:p>
        </w:tc>
        <w:tc>
          <w:tcPr>
            <w:tcW w:w="1889" w:type="dxa"/>
            <w:shd w:val="clear" w:color="auto" w:fill="auto"/>
            <w:vAlign w:val="center"/>
          </w:tcPr>
          <w:p>
            <w:pPr>
              <w:jc w:val="center"/>
              <w:rPr>
                <w:rFonts w:ascii="宋体" w:hAnsi="宋体" w:cs="宋体"/>
                <w:highlight w:val="none"/>
              </w:rPr>
            </w:pPr>
            <w:r>
              <w:rPr>
                <w:rFonts w:hint="eastAsia" w:ascii="宋体" w:hAnsi="宋体" w:cs="宋体"/>
                <w:highlight w:val="none"/>
              </w:rPr>
              <w:t>东南大学南通海洋高等研究院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714" w:type="dxa"/>
            <w:vAlign w:val="center"/>
          </w:tcPr>
          <w:p>
            <w:pPr>
              <w:jc w:val="center"/>
              <w:rPr>
                <w:rFonts w:ascii="宋体" w:hAnsi="宋体" w:cs="宋体"/>
                <w:highlight w:val="none"/>
              </w:rPr>
            </w:pPr>
            <w:r>
              <w:rPr>
                <w:rFonts w:hint="eastAsia" w:ascii="宋体" w:hAnsi="宋体" w:cs="宋体"/>
                <w:highlight w:val="none"/>
              </w:rPr>
              <w:t>6</w:t>
            </w:r>
          </w:p>
        </w:tc>
        <w:tc>
          <w:tcPr>
            <w:tcW w:w="2534" w:type="dxa"/>
            <w:vAlign w:val="center"/>
          </w:tcPr>
          <w:p>
            <w:pPr>
              <w:jc w:val="center"/>
              <w:rPr>
                <w:rFonts w:ascii="宋体" w:hAnsi="宋体" w:cs="宋体"/>
                <w:highlight w:val="none"/>
              </w:rPr>
            </w:pPr>
            <w:r>
              <w:rPr>
                <w:rFonts w:hint="eastAsia" w:ascii="宋体" w:hAnsi="宋体" w:cs="宋体"/>
                <w:highlight w:val="none"/>
              </w:rPr>
              <w:t>服务器</w:t>
            </w:r>
          </w:p>
        </w:tc>
        <w:tc>
          <w:tcPr>
            <w:tcW w:w="1153" w:type="dxa"/>
            <w:shd w:val="clear" w:color="auto" w:fill="auto"/>
            <w:vAlign w:val="center"/>
          </w:tcPr>
          <w:p>
            <w:pPr>
              <w:jc w:val="center"/>
              <w:rPr>
                <w:rFonts w:ascii="宋体" w:hAnsi="宋体" w:cs="宋体"/>
                <w:highlight w:val="none"/>
              </w:rPr>
            </w:pPr>
            <w:r>
              <w:rPr>
                <w:rFonts w:hint="eastAsia" w:ascii="宋体" w:hAnsi="宋体" w:cs="宋体"/>
                <w:highlight w:val="none"/>
              </w:rPr>
              <w:t>固定资产</w:t>
            </w:r>
          </w:p>
        </w:tc>
        <w:tc>
          <w:tcPr>
            <w:tcW w:w="1034" w:type="dxa"/>
            <w:vAlign w:val="center"/>
          </w:tcPr>
          <w:p>
            <w:pPr>
              <w:jc w:val="center"/>
              <w:rPr>
                <w:rFonts w:ascii="宋体" w:hAnsi="宋体" w:cs="宋体"/>
                <w:highlight w:val="none"/>
              </w:rPr>
            </w:pPr>
            <w:r>
              <w:rPr>
                <w:rFonts w:hint="eastAsia" w:ascii="宋体" w:hAnsi="宋体" w:cs="宋体"/>
                <w:highlight w:val="none"/>
              </w:rPr>
              <w:t>2</w:t>
            </w:r>
          </w:p>
        </w:tc>
        <w:tc>
          <w:tcPr>
            <w:tcW w:w="1206" w:type="dxa"/>
            <w:vAlign w:val="center"/>
          </w:tcPr>
          <w:p>
            <w:pPr>
              <w:jc w:val="center"/>
              <w:rPr>
                <w:rFonts w:ascii="宋体" w:hAnsi="宋体" w:cs="宋体"/>
                <w:highlight w:val="none"/>
              </w:rPr>
            </w:pPr>
            <w:r>
              <w:rPr>
                <w:rFonts w:hint="eastAsia" w:ascii="宋体" w:hAnsi="宋体" w:cs="宋体"/>
                <w:highlight w:val="none"/>
              </w:rPr>
              <w:t>台</w:t>
            </w:r>
          </w:p>
        </w:tc>
        <w:tc>
          <w:tcPr>
            <w:tcW w:w="1889" w:type="dxa"/>
            <w:shd w:val="clear" w:color="auto" w:fill="auto"/>
            <w:vAlign w:val="center"/>
          </w:tcPr>
          <w:p>
            <w:pPr>
              <w:jc w:val="center"/>
              <w:rPr>
                <w:rFonts w:ascii="宋体" w:hAnsi="宋体" w:cs="宋体"/>
                <w:highlight w:val="none"/>
              </w:rPr>
            </w:pPr>
            <w:r>
              <w:rPr>
                <w:rFonts w:hint="eastAsia" w:ascii="宋体" w:hAnsi="宋体" w:cs="宋体"/>
                <w:highlight w:val="none"/>
              </w:rPr>
              <w:t>东南大学南通海洋高等研究院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714" w:type="dxa"/>
            <w:vAlign w:val="center"/>
          </w:tcPr>
          <w:p>
            <w:pPr>
              <w:jc w:val="center"/>
              <w:rPr>
                <w:rFonts w:ascii="宋体" w:hAnsi="宋体" w:cs="宋体"/>
                <w:highlight w:val="none"/>
              </w:rPr>
            </w:pPr>
            <w:r>
              <w:rPr>
                <w:rFonts w:hint="eastAsia" w:ascii="宋体" w:hAnsi="宋体" w:cs="宋体"/>
                <w:highlight w:val="none"/>
              </w:rPr>
              <w:t>7</w:t>
            </w:r>
          </w:p>
        </w:tc>
        <w:tc>
          <w:tcPr>
            <w:tcW w:w="2534" w:type="dxa"/>
            <w:vAlign w:val="center"/>
          </w:tcPr>
          <w:p>
            <w:pPr>
              <w:jc w:val="center"/>
              <w:rPr>
                <w:rFonts w:ascii="宋体" w:hAnsi="宋体" w:cs="宋体"/>
                <w:highlight w:val="none"/>
              </w:rPr>
            </w:pPr>
            <w:r>
              <w:rPr>
                <w:rFonts w:hint="eastAsia" w:ascii="宋体" w:hAnsi="宋体" w:cs="宋体"/>
                <w:highlight w:val="none"/>
              </w:rPr>
              <w:t>防火墙</w:t>
            </w:r>
          </w:p>
        </w:tc>
        <w:tc>
          <w:tcPr>
            <w:tcW w:w="1153" w:type="dxa"/>
            <w:shd w:val="clear" w:color="auto" w:fill="auto"/>
            <w:vAlign w:val="center"/>
          </w:tcPr>
          <w:p>
            <w:pPr>
              <w:jc w:val="center"/>
              <w:rPr>
                <w:rFonts w:ascii="宋体" w:hAnsi="宋体" w:cs="宋体"/>
                <w:highlight w:val="none"/>
              </w:rPr>
            </w:pPr>
            <w:r>
              <w:rPr>
                <w:rFonts w:hint="eastAsia" w:ascii="宋体" w:hAnsi="宋体" w:cs="宋体"/>
                <w:highlight w:val="none"/>
              </w:rPr>
              <w:t>固定资产</w:t>
            </w:r>
          </w:p>
        </w:tc>
        <w:tc>
          <w:tcPr>
            <w:tcW w:w="1034" w:type="dxa"/>
            <w:shd w:val="clear" w:color="auto" w:fill="auto"/>
            <w:vAlign w:val="center"/>
          </w:tcPr>
          <w:p>
            <w:pPr>
              <w:jc w:val="center"/>
              <w:rPr>
                <w:rFonts w:ascii="宋体" w:hAnsi="宋体" w:cs="宋体"/>
                <w:highlight w:val="none"/>
              </w:rPr>
            </w:pPr>
            <w:r>
              <w:rPr>
                <w:rFonts w:hint="eastAsia" w:ascii="宋体" w:hAnsi="宋体" w:cs="宋体"/>
                <w:highlight w:val="none"/>
              </w:rPr>
              <w:t>1</w:t>
            </w:r>
          </w:p>
        </w:tc>
        <w:tc>
          <w:tcPr>
            <w:tcW w:w="1206" w:type="dxa"/>
            <w:shd w:val="clear" w:color="auto" w:fill="auto"/>
            <w:vAlign w:val="center"/>
          </w:tcPr>
          <w:p>
            <w:pPr>
              <w:jc w:val="center"/>
              <w:rPr>
                <w:rFonts w:ascii="宋体" w:hAnsi="宋体" w:cs="宋体"/>
                <w:highlight w:val="none"/>
              </w:rPr>
            </w:pPr>
            <w:r>
              <w:rPr>
                <w:rFonts w:hint="eastAsia" w:ascii="宋体" w:hAnsi="宋体" w:cs="宋体"/>
                <w:highlight w:val="none"/>
              </w:rPr>
              <w:t>台</w:t>
            </w:r>
          </w:p>
        </w:tc>
        <w:tc>
          <w:tcPr>
            <w:tcW w:w="1889" w:type="dxa"/>
            <w:shd w:val="clear" w:color="auto" w:fill="auto"/>
            <w:vAlign w:val="center"/>
          </w:tcPr>
          <w:p>
            <w:pPr>
              <w:jc w:val="center"/>
              <w:rPr>
                <w:rFonts w:ascii="宋体" w:hAnsi="宋体" w:cs="宋体"/>
                <w:highlight w:val="none"/>
              </w:rPr>
            </w:pPr>
            <w:r>
              <w:rPr>
                <w:rFonts w:hint="eastAsia" w:ascii="宋体" w:hAnsi="宋体" w:cs="宋体"/>
                <w:highlight w:val="none"/>
              </w:rPr>
              <w:t>东南大学南通海洋高等研究院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714" w:type="dxa"/>
            <w:vAlign w:val="center"/>
          </w:tcPr>
          <w:p>
            <w:pPr>
              <w:jc w:val="center"/>
              <w:rPr>
                <w:rFonts w:ascii="宋体" w:hAnsi="宋体" w:cs="宋体"/>
                <w:highlight w:val="none"/>
              </w:rPr>
            </w:pPr>
            <w:r>
              <w:rPr>
                <w:rFonts w:hint="eastAsia" w:ascii="宋体" w:hAnsi="宋体" w:cs="宋体"/>
                <w:highlight w:val="none"/>
              </w:rPr>
              <w:t>8</w:t>
            </w:r>
          </w:p>
        </w:tc>
        <w:tc>
          <w:tcPr>
            <w:tcW w:w="2534" w:type="dxa"/>
            <w:vAlign w:val="center"/>
          </w:tcPr>
          <w:p>
            <w:pPr>
              <w:jc w:val="center"/>
              <w:rPr>
                <w:rFonts w:ascii="宋体" w:hAnsi="宋体" w:cs="宋体"/>
                <w:highlight w:val="none"/>
              </w:rPr>
            </w:pPr>
            <w:r>
              <w:rPr>
                <w:rFonts w:hint="eastAsia" w:ascii="宋体" w:hAnsi="宋体" w:cs="宋体"/>
                <w:highlight w:val="none"/>
              </w:rPr>
              <w:t>机柜</w:t>
            </w:r>
          </w:p>
        </w:tc>
        <w:tc>
          <w:tcPr>
            <w:tcW w:w="1153" w:type="dxa"/>
            <w:shd w:val="clear" w:color="auto" w:fill="auto"/>
            <w:vAlign w:val="center"/>
          </w:tcPr>
          <w:p>
            <w:pPr>
              <w:jc w:val="center"/>
              <w:rPr>
                <w:rFonts w:ascii="宋体" w:hAnsi="宋体" w:cs="宋体"/>
                <w:highlight w:val="none"/>
              </w:rPr>
            </w:pPr>
            <w:r>
              <w:rPr>
                <w:rFonts w:hint="eastAsia" w:ascii="宋体" w:hAnsi="宋体" w:cs="宋体"/>
                <w:highlight w:val="none"/>
              </w:rPr>
              <w:t>固定资产</w:t>
            </w:r>
          </w:p>
        </w:tc>
        <w:tc>
          <w:tcPr>
            <w:tcW w:w="1034" w:type="dxa"/>
            <w:shd w:val="clear" w:color="auto" w:fill="auto"/>
            <w:vAlign w:val="center"/>
          </w:tcPr>
          <w:p>
            <w:pPr>
              <w:jc w:val="center"/>
              <w:rPr>
                <w:rFonts w:ascii="宋体" w:hAnsi="宋体" w:cs="宋体"/>
                <w:highlight w:val="none"/>
              </w:rPr>
            </w:pPr>
            <w:r>
              <w:rPr>
                <w:rFonts w:hint="eastAsia" w:ascii="宋体" w:hAnsi="宋体" w:cs="宋体"/>
                <w:highlight w:val="none"/>
              </w:rPr>
              <w:t>1</w:t>
            </w:r>
          </w:p>
        </w:tc>
        <w:tc>
          <w:tcPr>
            <w:tcW w:w="1206" w:type="dxa"/>
            <w:shd w:val="clear" w:color="auto" w:fill="auto"/>
            <w:vAlign w:val="center"/>
          </w:tcPr>
          <w:p>
            <w:pPr>
              <w:jc w:val="center"/>
              <w:rPr>
                <w:rFonts w:ascii="宋体" w:hAnsi="宋体" w:cs="宋体"/>
                <w:highlight w:val="none"/>
              </w:rPr>
            </w:pPr>
            <w:r>
              <w:rPr>
                <w:rFonts w:hint="eastAsia" w:ascii="宋体" w:hAnsi="宋体" w:cs="宋体"/>
                <w:highlight w:val="none"/>
              </w:rPr>
              <w:t>台</w:t>
            </w:r>
          </w:p>
        </w:tc>
        <w:tc>
          <w:tcPr>
            <w:tcW w:w="1889" w:type="dxa"/>
            <w:shd w:val="clear" w:color="auto" w:fill="auto"/>
            <w:vAlign w:val="center"/>
          </w:tcPr>
          <w:p>
            <w:pPr>
              <w:jc w:val="center"/>
              <w:rPr>
                <w:rFonts w:ascii="宋体" w:hAnsi="宋体" w:cs="宋体"/>
                <w:highlight w:val="none"/>
              </w:rPr>
            </w:pPr>
            <w:r>
              <w:rPr>
                <w:rFonts w:hint="eastAsia" w:ascii="宋体" w:hAnsi="宋体" w:cs="宋体"/>
                <w:highlight w:val="none"/>
              </w:rPr>
              <w:t>东南大学南通海洋高等研究院</w:t>
            </w:r>
          </w:p>
        </w:tc>
      </w:tr>
    </w:tbl>
    <w:p>
      <w:pPr>
        <w:rPr>
          <w:rFonts w:ascii="宋体" w:hAnsi="宋体" w:cs="宋体"/>
          <w:highlight w:val="none"/>
        </w:rPr>
      </w:pPr>
    </w:p>
    <w:p>
      <w:pPr>
        <w:rPr>
          <w:rFonts w:ascii="宋体" w:hAnsi="宋体" w:cs="宋体"/>
          <w:highlight w:val="none"/>
        </w:rPr>
        <w:sectPr>
          <w:pgSz w:w="11906" w:h="16839"/>
          <w:pgMar w:top="1431" w:right="1690" w:bottom="1156" w:left="1690" w:header="0" w:footer="994" w:gutter="0"/>
          <w:cols w:space="720" w:num="1"/>
        </w:sectPr>
      </w:pPr>
    </w:p>
    <w:p>
      <w:pPr>
        <w:spacing w:line="306" w:lineRule="auto"/>
        <w:rPr>
          <w:rFonts w:ascii="宋体" w:hAnsi="宋体" w:cs="宋体"/>
          <w:highlight w:val="none"/>
        </w:rPr>
      </w:pPr>
    </w:p>
    <w:p>
      <w:pPr>
        <w:spacing w:line="360" w:lineRule="auto"/>
        <w:jc w:val="center"/>
        <w:rPr>
          <w:rFonts w:ascii="宋体" w:hAnsi="宋体" w:cs="宋体"/>
          <w:b/>
          <w:bCs/>
          <w:highlight w:val="none"/>
        </w:rPr>
      </w:pPr>
      <w:r>
        <w:rPr>
          <w:rFonts w:hint="eastAsia" w:ascii="宋体" w:hAnsi="宋体" w:cs="宋体"/>
          <w:b/>
          <w:bCs/>
          <w:highlight w:val="none"/>
        </w:rPr>
        <w:t>详细技术要求</w:t>
      </w:r>
    </w:p>
    <w:tbl>
      <w:tblPr>
        <w:tblStyle w:val="19"/>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351"/>
        <w:gridCol w:w="6688"/>
        <w:gridCol w:w="470"/>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pStyle w:val="6"/>
              <w:spacing w:before="65" w:line="360" w:lineRule="auto"/>
              <w:jc w:val="center"/>
              <w:rPr>
                <w:b/>
                <w:bCs/>
                <w:spacing w:val="8"/>
                <w:szCs w:val="21"/>
                <w:highlight w:val="none"/>
              </w:rPr>
            </w:pPr>
            <w:r>
              <w:rPr>
                <w:rFonts w:hint="eastAsia"/>
                <w:b/>
                <w:bCs/>
                <w:spacing w:val="8"/>
                <w:szCs w:val="21"/>
                <w:highlight w:val="none"/>
              </w:rPr>
              <w:t>序号</w:t>
            </w:r>
          </w:p>
        </w:tc>
        <w:tc>
          <w:tcPr>
            <w:tcW w:w="1351" w:type="dxa"/>
            <w:vAlign w:val="center"/>
          </w:tcPr>
          <w:p>
            <w:pPr>
              <w:pStyle w:val="6"/>
              <w:spacing w:before="65" w:line="360" w:lineRule="auto"/>
              <w:jc w:val="center"/>
              <w:rPr>
                <w:b/>
                <w:bCs/>
                <w:spacing w:val="8"/>
                <w:szCs w:val="21"/>
                <w:highlight w:val="none"/>
              </w:rPr>
            </w:pPr>
            <w:r>
              <w:rPr>
                <w:rFonts w:hint="eastAsia"/>
                <w:b/>
                <w:bCs/>
                <w:spacing w:val="8"/>
                <w:szCs w:val="21"/>
                <w:highlight w:val="none"/>
              </w:rPr>
              <w:t>设备名称</w:t>
            </w:r>
          </w:p>
        </w:tc>
        <w:tc>
          <w:tcPr>
            <w:tcW w:w="6688" w:type="dxa"/>
            <w:vAlign w:val="center"/>
          </w:tcPr>
          <w:p>
            <w:pPr>
              <w:pStyle w:val="6"/>
              <w:spacing w:before="65" w:line="360" w:lineRule="auto"/>
              <w:jc w:val="center"/>
              <w:rPr>
                <w:b/>
                <w:bCs/>
                <w:spacing w:val="8"/>
                <w:szCs w:val="21"/>
                <w:highlight w:val="none"/>
              </w:rPr>
            </w:pPr>
            <w:r>
              <w:rPr>
                <w:rFonts w:hint="eastAsia"/>
                <w:b/>
                <w:bCs/>
                <w:spacing w:val="8"/>
                <w:szCs w:val="21"/>
                <w:highlight w:val="none"/>
              </w:rPr>
              <w:t>详细参数</w:t>
            </w:r>
          </w:p>
        </w:tc>
        <w:tc>
          <w:tcPr>
            <w:tcW w:w="470" w:type="dxa"/>
            <w:vAlign w:val="center"/>
          </w:tcPr>
          <w:p>
            <w:pPr>
              <w:pStyle w:val="6"/>
              <w:spacing w:before="65" w:line="360" w:lineRule="auto"/>
              <w:jc w:val="center"/>
              <w:rPr>
                <w:b/>
                <w:bCs/>
                <w:spacing w:val="8"/>
                <w:szCs w:val="21"/>
                <w:highlight w:val="none"/>
              </w:rPr>
            </w:pPr>
            <w:r>
              <w:rPr>
                <w:rFonts w:hint="eastAsia"/>
                <w:b/>
                <w:bCs/>
                <w:spacing w:val="8"/>
                <w:szCs w:val="21"/>
                <w:highlight w:val="none"/>
              </w:rPr>
              <w:t>数量</w:t>
            </w:r>
          </w:p>
        </w:tc>
        <w:tc>
          <w:tcPr>
            <w:tcW w:w="454" w:type="dxa"/>
            <w:vAlign w:val="center"/>
          </w:tcPr>
          <w:p>
            <w:pPr>
              <w:pStyle w:val="6"/>
              <w:spacing w:before="65" w:line="360" w:lineRule="auto"/>
              <w:jc w:val="center"/>
              <w:rPr>
                <w:b/>
                <w:bCs/>
                <w:spacing w:val="8"/>
                <w:szCs w:val="21"/>
                <w:highlight w:val="none"/>
              </w:rPr>
            </w:pPr>
            <w:r>
              <w:rPr>
                <w:rFonts w:hint="eastAsia"/>
                <w:b/>
                <w:bCs/>
                <w:spacing w:val="8"/>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ascii="宋体" w:hAnsi="宋体" w:cs="宋体"/>
                <w:highlight w:val="none"/>
              </w:rPr>
            </w:pPr>
            <w:r>
              <w:rPr>
                <w:rFonts w:hint="eastAsia" w:ascii="宋体" w:hAnsi="宋体" w:cs="宋体"/>
                <w:highlight w:val="none"/>
              </w:rPr>
              <w:t>1</w:t>
            </w:r>
          </w:p>
        </w:tc>
        <w:tc>
          <w:tcPr>
            <w:tcW w:w="1351" w:type="dxa"/>
            <w:vAlign w:val="center"/>
          </w:tcPr>
          <w:p>
            <w:pPr>
              <w:jc w:val="center"/>
              <w:rPr>
                <w:rFonts w:ascii="宋体" w:hAnsi="宋体" w:cs="宋体"/>
                <w:spacing w:val="8"/>
                <w:highlight w:val="none"/>
              </w:rPr>
            </w:pPr>
            <w:r>
              <w:rPr>
                <w:rFonts w:hint="eastAsia" w:ascii="宋体" w:hAnsi="宋体" w:cs="宋体"/>
                <w:highlight w:val="none"/>
              </w:rPr>
              <w:t>财务管理软件</w:t>
            </w:r>
          </w:p>
        </w:tc>
        <w:tc>
          <w:tcPr>
            <w:tcW w:w="6688" w:type="dxa"/>
            <w:vAlign w:val="center"/>
          </w:tcPr>
          <w:p>
            <w:pPr>
              <w:rPr>
                <w:rFonts w:ascii="宋体" w:hAnsi="宋体" w:cs="宋体"/>
                <w:highlight w:val="none"/>
              </w:rPr>
            </w:pPr>
            <w:r>
              <w:rPr>
                <w:rStyle w:val="17"/>
                <w:rFonts w:ascii="Arial" w:hAnsi="Arial" w:eastAsia="Arial" w:cs="Arial"/>
                <w:color w:val="333333"/>
                <w:szCs w:val="21"/>
                <w:highlight w:val="none"/>
                <w:shd w:val="clear" w:color="auto" w:fill="FFFFFF"/>
              </w:rPr>
              <w:t>★</w:t>
            </w:r>
            <w:r>
              <w:rPr>
                <w:rFonts w:hint="eastAsia" w:ascii="宋体" w:hAnsi="宋体" w:cs="宋体"/>
                <w:highlight w:val="none"/>
              </w:rPr>
              <w:t xml:space="preserve">必须采用本地化部署，不接受公有云部署。 </w:t>
            </w:r>
          </w:p>
          <w:p>
            <w:pPr>
              <w:rPr>
                <w:rFonts w:ascii="宋体" w:hAnsi="宋体" w:cs="宋体"/>
                <w:highlight w:val="none"/>
              </w:rPr>
            </w:pPr>
            <w:r>
              <w:rPr>
                <w:rFonts w:hint="eastAsia" w:ascii="宋体" w:hAnsi="宋体" w:cs="宋体"/>
                <w:highlight w:val="none"/>
              </w:rPr>
              <w:t>一、政府会计制度</w:t>
            </w:r>
          </w:p>
          <w:p>
            <w:pPr>
              <w:rPr>
                <w:rFonts w:ascii="宋体" w:hAnsi="宋体" w:cs="宋体"/>
                <w:highlight w:val="none"/>
              </w:rPr>
            </w:pPr>
            <w:r>
              <w:rPr>
                <w:rFonts w:hint="eastAsia" w:ascii="宋体" w:hAnsi="宋体" w:cs="宋体"/>
                <w:highlight w:val="none"/>
              </w:rPr>
              <w:t>1、政府会计制度：满足政府会计制度改革的要求，采用平行记账方法进行账务处理。</w:t>
            </w:r>
          </w:p>
          <w:p>
            <w:pPr>
              <w:rPr>
                <w:rFonts w:ascii="宋体" w:hAnsi="宋体" w:cs="宋体"/>
                <w:highlight w:val="none"/>
              </w:rPr>
            </w:pPr>
            <w:r>
              <w:rPr>
                <w:rFonts w:hint="eastAsia" w:ascii="宋体" w:hAnsi="宋体" w:cs="宋体"/>
                <w:highlight w:val="none"/>
              </w:rPr>
              <w:t>2、政府会计制度：通过智能引擎的判断,根据财务会计凭证自动生成预算会计凭证，无需人工干预。</w:t>
            </w:r>
          </w:p>
          <w:p>
            <w:pPr>
              <w:rPr>
                <w:rFonts w:ascii="宋体" w:hAnsi="宋体" w:cs="宋体"/>
                <w:highlight w:val="none"/>
              </w:rPr>
            </w:pPr>
            <w:r>
              <w:rPr>
                <w:rFonts w:hint="eastAsia" w:ascii="宋体" w:hAnsi="宋体" w:cs="宋体"/>
                <w:highlight w:val="none"/>
              </w:rPr>
              <w:t>3、政府会计制度：自动生成本年盈余与预算结余差异分析表。</w:t>
            </w:r>
          </w:p>
          <w:p>
            <w:pPr>
              <w:rPr>
                <w:rFonts w:ascii="宋体" w:hAnsi="宋体" w:cs="宋体"/>
                <w:highlight w:val="none"/>
              </w:rPr>
            </w:pPr>
            <w:r>
              <w:rPr>
                <w:rFonts w:hint="eastAsia" w:ascii="宋体" w:hAnsi="宋体" w:cs="宋体"/>
                <w:highlight w:val="none"/>
              </w:rPr>
              <w:t>4、政府会计制度：实现收入来源单位管理、支付对象管理、债务人管理、债权人管理。</w:t>
            </w:r>
          </w:p>
          <w:p>
            <w:pPr>
              <w:rPr>
                <w:rFonts w:ascii="宋体" w:hAnsi="宋体" w:cs="宋体"/>
                <w:highlight w:val="none"/>
              </w:rPr>
            </w:pPr>
            <w:r>
              <w:rPr>
                <w:rFonts w:hint="eastAsia" w:ascii="宋体" w:hAnsi="宋体" w:cs="宋体"/>
                <w:highlight w:val="none"/>
              </w:rPr>
              <w:t>5、政府会计制度：自动生成资产负债表，收入费用表，净资产变动表，现金流量表。预算收入支出表，预算结转结余变动表，财政拨款预算收入支出表以及财务报告体系下的报表附注。</w:t>
            </w:r>
          </w:p>
          <w:p>
            <w:pPr>
              <w:rPr>
                <w:rFonts w:ascii="宋体" w:hAnsi="宋体" w:cs="宋体"/>
                <w:highlight w:val="none"/>
              </w:rPr>
            </w:pPr>
            <w:r>
              <w:rPr>
                <w:rFonts w:hint="eastAsia" w:ascii="宋体" w:hAnsi="宋体" w:cs="宋体"/>
                <w:highlight w:val="none"/>
              </w:rPr>
              <w:t>二、系统维护与定义</w:t>
            </w:r>
            <w:r>
              <w:rPr>
                <w:rFonts w:hint="eastAsia" w:ascii="宋体" w:hAnsi="宋体" w:cs="宋体"/>
                <w:highlight w:val="none"/>
              </w:rPr>
              <w:tab/>
            </w:r>
          </w:p>
          <w:p>
            <w:pPr>
              <w:rPr>
                <w:rFonts w:ascii="宋体" w:hAnsi="宋体" w:cs="宋体"/>
                <w:highlight w:val="none"/>
              </w:rPr>
            </w:pPr>
            <w:r>
              <w:rPr>
                <w:rFonts w:hint="eastAsia" w:ascii="宋体" w:hAnsi="宋体" w:cs="宋体"/>
                <w:highlight w:val="none"/>
              </w:rPr>
              <w:t>1、会计期间定义：根据具体核算和管理需要，定义不同的会计期间，支持结账期间的定义，并提供结账期与非结账期账本、报表查询。</w:t>
            </w:r>
          </w:p>
          <w:p>
            <w:pPr>
              <w:rPr>
                <w:rFonts w:ascii="宋体" w:hAnsi="宋体" w:cs="宋体"/>
                <w:highlight w:val="none"/>
              </w:rPr>
            </w:pPr>
            <w:r>
              <w:rPr>
                <w:rFonts w:hint="eastAsia" w:ascii="宋体" w:hAnsi="宋体" w:cs="宋体"/>
                <w:sz w:val="18"/>
                <w:szCs w:val="18"/>
                <w:highlight w:val="none"/>
              </w:rPr>
              <w:t>▲</w:t>
            </w:r>
            <w:r>
              <w:rPr>
                <w:rFonts w:hint="eastAsia" w:ascii="宋体" w:hAnsi="宋体" w:cs="宋体"/>
                <w:highlight w:val="none"/>
              </w:rPr>
              <w:t>2、会计科目定义：可自由按照核算要求设置核算科目。支持10级科目管理。支持科目属性定义（如：现金、银行、项目、往来、来源、国库、经办、外币、合同、增值税、收支核算等）并可生成相应属性的科目账本。</w:t>
            </w:r>
          </w:p>
          <w:p>
            <w:pPr>
              <w:rPr>
                <w:rFonts w:ascii="宋体" w:hAnsi="宋体" w:cs="宋体"/>
                <w:highlight w:val="none"/>
              </w:rPr>
            </w:pPr>
            <w:r>
              <w:rPr>
                <w:rFonts w:hint="eastAsia" w:ascii="宋体" w:hAnsi="宋体" w:cs="宋体"/>
                <w:highlight w:val="none"/>
              </w:rPr>
              <w:t>3、科目账初始化：初始化科目的期初余额</w:t>
            </w:r>
          </w:p>
          <w:p>
            <w:pPr>
              <w:rPr>
                <w:rFonts w:ascii="宋体" w:hAnsi="宋体" w:cs="宋体"/>
                <w:highlight w:val="none"/>
              </w:rPr>
            </w:pPr>
            <w:r>
              <w:rPr>
                <w:rFonts w:hint="eastAsia" w:ascii="宋体" w:hAnsi="宋体" w:cs="宋体"/>
                <w:highlight w:val="none"/>
              </w:rPr>
              <w:t>4、往来账初始化：初始化未核销的往来账目。支持按照往来业务的往来冲销管理，支持往来核销号码自动生成。</w:t>
            </w:r>
          </w:p>
          <w:p>
            <w:pPr>
              <w:rPr>
                <w:rFonts w:ascii="宋体" w:hAnsi="宋体" w:cs="宋体"/>
                <w:highlight w:val="none"/>
              </w:rPr>
            </w:pPr>
            <w:r>
              <w:rPr>
                <w:rFonts w:hint="eastAsia" w:ascii="宋体" w:hAnsi="宋体" w:cs="宋体"/>
                <w:highlight w:val="none"/>
              </w:rPr>
              <w:t>5、结算方式定义：维护管理银行分录的结算方式</w:t>
            </w:r>
          </w:p>
          <w:p>
            <w:pPr>
              <w:rPr>
                <w:rFonts w:ascii="宋体" w:hAnsi="宋体" w:cs="宋体"/>
                <w:highlight w:val="none"/>
              </w:rPr>
            </w:pPr>
            <w:r>
              <w:rPr>
                <w:rFonts w:hint="eastAsia" w:ascii="宋体" w:hAnsi="宋体" w:cs="宋体"/>
                <w:sz w:val="18"/>
                <w:szCs w:val="18"/>
                <w:highlight w:val="none"/>
              </w:rPr>
              <w:t>▲</w:t>
            </w:r>
            <w:r>
              <w:rPr>
                <w:rFonts w:hint="eastAsia" w:ascii="宋体" w:hAnsi="宋体" w:cs="宋体"/>
                <w:highlight w:val="none"/>
              </w:rPr>
              <w:t>6、凭证类型定义：维护管理不同的凭证类型，如：记账凭证、预算凭证。支持按照凭证类型对核算科目进行分类控制。如：现金凭证必须出现现金科目等。</w:t>
            </w:r>
          </w:p>
          <w:p>
            <w:pPr>
              <w:rPr>
                <w:rFonts w:ascii="宋体" w:hAnsi="宋体" w:cs="宋体"/>
                <w:highlight w:val="none"/>
              </w:rPr>
            </w:pPr>
            <w:r>
              <w:rPr>
                <w:rFonts w:hint="eastAsia" w:ascii="宋体" w:hAnsi="宋体" w:cs="宋体"/>
                <w:highlight w:val="none"/>
              </w:rPr>
              <w:t>支持按照凭证类型对核算科目进行分类控制。如：现金凭证必须出现现金科目等。</w:t>
            </w:r>
          </w:p>
          <w:p>
            <w:pPr>
              <w:rPr>
                <w:rFonts w:ascii="宋体" w:hAnsi="宋体" w:cs="宋体"/>
                <w:highlight w:val="none"/>
              </w:rPr>
            </w:pPr>
            <w:r>
              <w:rPr>
                <w:rFonts w:hint="eastAsia" w:ascii="宋体" w:hAnsi="宋体" w:cs="宋体"/>
                <w:highlight w:val="none"/>
              </w:rPr>
              <w:t>7、摘要字典定义：维护管理常用摘要</w:t>
            </w:r>
          </w:p>
          <w:p>
            <w:pPr>
              <w:rPr>
                <w:rFonts w:ascii="宋体" w:hAnsi="宋体" w:cs="宋体"/>
                <w:highlight w:val="none"/>
              </w:rPr>
            </w:pPr>
            <w:r>
              <w:rPr>
                <w:rFonts w:hint="eastAsia" w:ascii="宋体" w:hAnsi="宋体" w:cs="宋体"/>
                <w:highlight w:val="none"/>
              </w:rPr>
              <w:t>8、外币汇率设置：设置外汇汇率，并可根据汇率自动生成汇兑损益凭证。</w:t>
            </w:r>
          </w:p>
          <w:p>
            <w:pPr>
              <w:rPr>
                <w:rFonts w:ascii="宋体" w:hAnsi="宋体" w:cs="宋体"/>
                <w:highlight w:val="none"/>
              </w:rPr>
            </w:pPr>
            <w:r>
              <w:rPr>
                <w:rFonts w:hint="eastAsia" w:ascii="宋体" w:hAnsi="宋体" w:cs="宋体"/>
                <w:highlight w:val="none"/>
              </w:rPr>
              <w:t>9、自动转账定义：根据自动转账公式，自动生成转账凭证。</w:t>
            </w:r>
          </w:p>
          <w:p>
            <w:pPr>
              <w:rPr>
                <w:rFonts w:ascii="宋体" w:hAnsi="宋体" w:cs="宋体"/>
                <w:highlight w:val="none"/>
              </w:rPr>
            </w:pPr>
            <w:r>
              <w:rPr>
                <w:rFonts w:hint="eastAsia" w:ascii="宋体" w:hAnsi="宋体" w:cs="宋体"/>
                <w:highlight w:val="none"/>
              </w:rPr>
              <w:t>10、账本格式定义：系统提供标准的科目、项目账本格式，并可以方便定义维护科目、项目账本。账本格式的定义方式要灵活、直观，采用所见即所得的操作界面。</w:t>
            </w:r>
          </w:p>
          <w:p>
            <w:pPr>
              <w:rPr>
                <w:rFonts w:ascii="宋体" w:hAnsi="宋体" w:cs="宋体"/>
                <w:highlight w:val="none"/>
              </w:rPr>
            </w:pPr>
            <w:r>
              <w:rPr>
                <w:rFonts w:hint="eastAsia" w:ascii="宋体" w:hAnsi="宋体" w:cs="宋体"/>
                <w:highlight w:val="none"/>
              </w:rPr>
              <w:t>11、下一年度建账：自动结转下年账目所需的数据，如科目、项目、往来等数据，并支持多次结转。多次结转不得影响次年账目及凭证数据。</w:t>
            </w:r>
          </w:p>
          <w:p>
            <w:pPr>
              <w:rPr>
                <w:rFonts w:ascii="宋体" w:hAnsi="宋体" w:cs="宋体"/>
                <w:highlight w:val="none"/>
              </w:rPr>
            </w:pPr>
            <w:r>
              <w:rPr>
                <w:rFonts w:hint="eastAsia" w:ascii="宋体" w:hAnsi="宋体" w:cs="宋体"/>
                <w:highlight w:val="none"/>
              </w:rPr>
              <w:t>12、人员权限管理：支持权限分组管理</w:t>
            </w:r>
          </w:p>
          <w:p>
            <w:pPr>
              <w:rPr>
                <w:rFonts w:ascii="宋体" w:hAnsi="宋体" w:cs="宋体"/>
                <w:highlight w:val="none"/>
              </w:rPr>
            </w:pPr>
            <w:r>
              <w:rPr>
                <w:rFonts w:hint="eastAsia" w:ascii="宋体" w:hAnsi="宋体" w:cs="宋体"/>
                <w:highlight w:val="none"/>
              </w:rPr>
              <w:t>13、系统登录日志：提供系统操作人员登录日志管理</w:t>
            </w:r>
          </w:p>
          <w:p>
            <w:pPr>
              <w:rPr>
                <w:rFonts w:ascii="宋体" w:hAnsi="宋体" w:cs="宋体"/>
                <w:highlight w:val="none"/>
              </w:rPr>
            </w:pPr>
            <w:r>
              <w:rPr>
                <w:rFonts w:hint="eastAsia" w:ascii="宋体" w:hAnsi="宋体" w:cs="宋体"/>
                <w:highlight w:val="none"/>
              </w:rPr>
              <w:t>14、数据备份与恢复：提供数据备份与恢复功能</w:t>
            </w:r>
          </w:p>
          <w:p>
            <w:pPr>
              <w:rPr>
                <w:rFonts w:ascii="宋体" w:hAnsi="宋体" w:cs="宋体"/>
                <w:highlight w:val="none"/>
              </w:rPr>
            </w:pPr>
            <w:r>
              <w:rPr>
                <w:rFonts w:hint="eastAsia" w:ascii="宋体" w:hAnsi="宋体" w:cs="宋体"/>
                <w:sz w:val="18"/>
                <w:szCs w:val="18"/>
                <w:highlight w:val="none"/>
              </w:rPr>
              <w:t>▲</w:t>
            </w:r>
            <w:r>
              <w:rPr>
                <w:rFonts w:hint="eastAsia" w:ascii="宋体" w:hAnsi="宋体" w:cs="宋体"/>
                <w:highlight w:val="none"/>
              </w:rPr>
              <w:t>15、系统高级参数设置：提供系统需要的参数的配置管理，可以根据参数设置实现系统的细致管理，如来源核算的科目是否必须输入来源代码、获取用款计划时是否匹配指标类型、获取用款计划时是否匹配部门经济科目、财政模式等，可以采用参数调整。</w:t>
            </w:r>
          </w:p>
          <w:p>
            <w:pPr>
              <w:rPr>
                <w:rFonts w:ascii="宋体" w:hAnsi="宋体" w:cs="宋体"/>
                <w:highlight w:val="none"/>
              </w:rPr>
            </w:pPr>
            <w:r>
              <w:rPr>
                <w:rFonts w:hint="eastAsia" w:ascii="宋体" w:hAnsi="宋体" w:cs="宋体"/>
                <w:highlight w:val="none"/>
              </w:rPr>
              <w:t>16、个性化设置：针对不同操作人员设置所需的个性化配置参数，如默认打印机、默认输入法等。</w:t>
            </w:r>
          </w:p>
          <w:p>
            <w:pPr>
              <w:rPr>
                <w:rFonts w:ascii="宋体" w:hAnsi="宋体" w:cs="宋体"/>
                <w:highlight w:val="none"/>
              </w:rPr>
            </w:pPr>
            <w:r>
              <w:rPr>
                <w:rFonts w:hint="eastAsia" w:ascii="宋体" w:hAnsi="宋体" w:cs="宋体"/>
                <w:highlight w:val="none"/>
              </w:rPr>
              <w:t>17、数据库升级：提供系统自动升级功能，实现所有版本的统一维护。</w:t>
            </w:r>
          </w:p>
          <w:p>
            <w:pPr>
              <w:rPr>
                <w:rFonts w:ascii="宋体" w:hAnsi="宋体" w:cs="宋体"/>
                <w:highlight w:val="none"/>
              </w:rPr>
            </w:pPr>
            <w:r>
              <w:rPr>
                <w:rFonts w:hint="eastAsia" w:ascii="宋体" w:hAnsi="宋体" w:cs="宋体"/>
                <w:highlight w:val="none"/>
              </w:rPr>
              <w:t>三、指标控制与管理</w:t>
            </w:r>
            <w:r>
              <w:rPr>
                <w:rFonts w:hint="eastAsia" w:ascii="宋体" w:hAnsi="宋体" w:cs="宋体"/>
                <w:highlight w:val="none"/>
              </w:rPr>
              <w:tab/>
            </w:r>
          </w:p>
          <w:p>
            <w:pPr>
              <w:rPr>
                <w:rFonts w:ascii="宋体" w:hAnsi="宋体" w:cs="宋体"/>
                <w:highlight w:val="none"/>
              </w:rPr>
            </w:pPr>
            <w:r>
              <w:rPr>
                <w:rFonts w:hint="eastAsia" w:ascii="宋体" w:hAnsi="宋体" w:cs="宋体"/>
                <w:highlight w:val="none"/>
              </w:rPr>
              <w:t>1、项目代码管理：提供灵活的项目代码管理。支持项目分类管理（至少999个项目大类）；支持项目多种附加属性信息（至少20个）的维护与管理；支持多级项目管理；支持经费余额的实时冻结/解冻管理。</w:t>
            </w:r>
          </w:p>
          <w:p>
            <w:pPr>
              <w:rPr>
                <w:rFonts w:ascii="宋体" w:hAnsi="宋体" w:cs="宋体"/>
                <w:highlight w:val="none"/>
              </w:rPr>
            </w:pPr>
            <w:r>
              <w:rPr>
                <w:rFonts w:hint="eastAsia" w:ascii="宋体" w:hAnsi="宋体" w:cs="宋体"/>
                <w:highlight w:val="none"/>
              </w:rPr>
              <w:t>2、批量项目管理维护：提供灵活方便的方式对项目进行批量维护管理（如项目的切面信息、项目的预算模板信息）。</w:t>
            </w:r>
          </w:p>
          <w:p>
            <w:pPr>
              <w:rPr>
                <w:rFonts w:ascii="宋体" w:hAnsi="宋体" w:cs="宋体"/>
                <w:highlight w:val="none"/>
              </w:rPr>
            </w:pPr>
            <w:r>
              <w:rPr>
                <w:rFonts w:hint="eastAsia" w:ascii="宋体" w:hAnsi="宋体" w:cs="宋体"/>
                <w:highlight w:val="none"/>
              </w:rPr>
              <w:t>4、项目变动日志：提供详尽的项目信息变更日志，并提供查询统计功能。</w:t>
            </w:r>
          </w:p>
          <w:p>
            <w:pPr>
              <w:rPr>
                <w:rFonts w:ascii="宋体" w:hAnsi="宋体" w:cs="宋体"/>
                <w:highlight w:val="none"/>
              </w:rPr>
            </w:pPr>
            <w:r>
              <w:rPr>
                <w:rFonts w:hint="eastAsia" w:ascii="宋体" w:hAnsi="宋体" w:cs="宋体"/>
                <w:highlight w:val="none"/>
              </w:rPr>
              <w:t>5、资金来源定义：提供资金来源的维护管理功能。资金来源需支持国库项目管理，支持国库支付的类、款、项分类、经费性质、资金性质、预算类型及支付方式等。实现项目经费的多来源核算管理。</w:t>
            </w:r>
          </w:p>
          <w:p>
            <w:pPr>
              <w:rPr>
                <w:rFonts w:ascii="宋体" w:hAnsi="宋体" w:cs="宋体"/>
                <w:highlight w:val="none"/>
              </w:rPr>
            </w:pPr>
            <w:r>
              <w:rPr>
                <w:rFonts w:hint="eastAsia" w:ascii="宋体" w:hAnsi="宋体" w:cs="宋体"/>
                <w:highlight w:val="none"/>
              </w:rPr>
              <w:t>6、项目预算管理：支持经费余额的实时冻结/解冻管理，支持根据预算模板的项目预算管理，实现项目经费的预算总额及分类预算项的控制及管理，并可提供多种预算控制方式（控制/警告提示等）。</w:t>
            </w:r>
          </w:p>
          <w:p>
            <w:pPr>
              <w:rPr>
                <w:rFonts w:ascii="宋体" w:hAnsi="宋体" w:cs="宋体"/>
                <w:highlight w:val="none"/>
              </w:rPr>
            </w:pPr>
            <w:r>
              <w:rPr>
                <w:rFonts w:hint="eastAsia" w:ascii="宋体" w:hAnsi="宋体" w:cs="宋体"/>
                <w:highlight w:val="none"/>
              </w:rPr>
              <w:t>7、预算模板管理：可按照经费性质设置不同类型的预算模板，对不同类型项目按照不同预算模板进行分类控制。如通用模板、科研经费、校内专项等。</w:t>
            </w:r>
          </w:p>
          <w:p>
            <w:pPr>
              <w:rPr>
                <w:rFonts w:ascii="宋体" w:hAnsi="宋体" w:cs="宋体"/>
                <w:highlight w:val="none"/>
              </w:rPr>
            </w:pPr>
            <w:r>
              <w:rPr>
                <w:rFonts w:hint="eastAsia" w:ascii="宋体" w:hAnsi="宋体" w:cs="宋体"/>
                <w:highlight w:val="none"/>
              </w:rPr>
              <w:t>四、凭证管理</w:t>
            </w:r>
          </w:p>
          <w:p>
            <w:pPr>
              <w:rPr>
                <w:rFonts w:ascii="宋体" w:hAnsi="宋体" w:cs="宋体"/>
                <w:highlight w:val="none"/>
              </w:rPr>
            </w:pPr>
            <w:r>
              <w:rPr>
                <w:rFonts w:hint="eastAsia" w:ascii="宋体" w:hAnsi="宋体" w:cs="宋体"/>
                <w:highlight w:val="none"/>
              </w:rPr>
              <w:t>1、凭证录入修改：提供日常凭证录入功能，并实现项目经费预算的实时控制；支持网络预约凭证的转入及审核；支持常用凭证的自动生成；</w:t>
            </w:r>
          </w:p>
          <w:p>
            <w:pPr>
              <w:rPr>
                <w:rFonts w:ascii="宋体" w:hAnsi="宋体" w:cs="宋体"/>
                <w:highlight w:val="none"/>
              </w:rPr>
            </w:pPr>
            <w:r>
              <w:rPr>
                <w:rFonts w:hint="eastAsia" w:ascii="宋体" w:hAnsi="宋体" w:cs="宋体"/>
                <w:highlight w:val="none"/>
              </w:rPr>
              <w:t>2、支持凭证录入界面实现科目、项目、往来账目的查询功能并支持跨年度查询。</w:t>
            </w:r>
          </w:p>
          <w:p>
            <w:pPr>
              <w:rPr>
                <w:rFonts w:ascii="宋体" w:hAnsi="宋体" w:cs="宋体"/>
                <w:highlight w:val="none"/>
              </w:rPr>
            </w:pPr>
            <w:r>
              <w:rPr>
                <w:rFonts w:hint="eastAsia" w:ascii="宋体" w:hAnsi="宋体" w:cs="宋体"/>
                <w:highlight w:val="none"/>
              </w:rPr>
              <w:t>3、凭证浏览监视：提供不同类型凭证不同审核状态的监控及浏览</w:t>
            </w:r>
          </w:p>
          <w:p>
            <w:pPr>
              <w:rPr>
                <w:rFonts w:ascii="宋体" w:hAnsi="宋体" w:cs="宋体"/>
                <w:highlight w:val="none"/>
              </w:rPr>
            </w:pPr>
            <w:r>
              <w:rPr>
                <w:rFonts w:hint="eastAsia" w:ascii="宋体" w:hAnsi="宋体" w:cs="宋体"/>
                <w:highlight w:val="none"/>
              </w:rPr>
              <w:t>4、凭证预览打印：提供按照凭证类型的凭证批量打印功能，并支持按照科目汇总打印。</w:t>
            </w:r>
          </w:p>
          <w:p>
            <w:pPr>
              <w:rPr>
                <w:rFonts w:ascii="宋体" w:hAnsi="宋体" w:cs="宋体"/>
                <w:highlight w:val="none"/>
              </w:rPr>
            </w:pPr>
            <w:r>
              <w:rPr>
                <w:rFonts w:hint="eastAsia" w:ascii="宋体" w:hAnsi="宋体" w:cs="宋体"/>
                <w:highlight w:val="none"/>
              </w:rPr>
              <w:t>5、自动转账凭证：提供自动转账凭证的批量生成功能；支持工资系统自动生成凭证功能；支持学生收费系统自动生成凭证功能。</w:t>
            </w:r>
          </w:p>
          <w:p>
            <w:pPr>
              <w:rPr>
                <w:rFonts w:ascii="宋体" w:hAnsi="宋体" w:cs="宋体"/>
                <w:highlight w:val="none"/>
              </w:rPr>
            </w:pPr>
            <w:r>
              <w:rPr>
                <w:rFonts w:hint="eastAsia" w:ascii="宋体" w:hAnsi="宋体" w:cs="宋体"/>
                <w:highlight w:val="none"/>
              </w:rPr>
              <w:t>6、凭证审核记账：实现凭证的审核记账，支持单个凭证审核及批量凭证审核。</w:t>
            </w:r>
          </w:p>
          <w:p>
            <w:pPr>
              <w:rPr>
                <w:rFonts w:ascii="宋体" w:hAnsi="宋体" w:cs="宋体"/>
                <w:highlight w:val="none"/>
              </w:rPr>
            </w:pPr>
            <w:r>
              <w:rPr>
                <w:rFonts w:hint="eastAsia" w:ascii="宋体" w:hAnsi="宋体" w:cs="宋体"/>
                <w:highlight w:val="none"/>
              </w:rPr>
              <w:t>7、按照权限授权，实现跨校区（如有）的会计凭证审核和会计帐簿查询。</w:t>
            </w:r>
          </w:p>
          <w:p>
            <w:pPr>
              <w:rPr>
                <w:rFonts w:ascii="宋体" w:hAnsi="宋体" w:cs="宋体"/>
                <w:highlight w:val="none"/>
              </w:rPr>
            </w:pPr>
            <w:r>
              <w:rPr>
                <w:rFonts w:hint="eastAsia" w:ascii="宋体" w:hAnsi="宋体" w:cs="宋体"/>
                <w:highlight w:val="none"/>
              </w:rPr>
              <w:t>五、现金与出纳管理</w:t>
            </w:r>
          </w:p>
          <w:p>
            <w:pPr>
              <w:rPr>
                <w:rFonts w:ascii="宋体" w:hAnsi="宋体" w:cs="宋体"/>
                <w:highlight w:val="none"/>
              </w:rPr>
            </w:pPr>
            <w:r>
              <w:rPr>
                <w:rFonts w:hint="eastAsia" w:ascii="宋体" w:hAnsi="宋体" w:cs="宋体"/>
                <w:highlight w:val="none"/>
              </w:rPr>
              <w:t>1、现金出纳审核：实现现金凭证的出纳审核，并可打印现金出纳的现金流水账。</w:t>
            </w:r>
          </w:p>
          <w:p>
            <w:pPr>
              <w:rPr>
                <w:rFonts w:ascii="宋体" w:hAnsi="宋体" w:cs="宋体"/>
                <w:highlight w:val="none"/>
              </w:rPr>
            </w:pPr>
            <w:r>
              <w:rPr>
                <w:rFonts w:hint="eastAsia" w:ascii="宋体" w:hAnsi="宋体" w:cs="宋体"/>
                <w:highlight w:val="none"/>
              </w:rPr>
              <w:t>2、银行出纳审核：实现银行凭证的出纳审核，并可打印银行出纳的银行流水账。</w:t>
            </w:r>
          </w:p>
          <w:p>
            <w:pPr>
              <w:rPr>
                <w:rFonts w:ascii="宋体" w:hAnsi="宋体" w:cs="宋体"/>
                <w:highlight w:val="none"/>
              </w:rPr>
            </w:pPr>
            <w:r>
              <w:rPr>
                <w:rFonts w:hint="eastAsia" w:ascii="宋体" w:hAnsi="宋体" w:cs="宋体"/>
                <w:highlight w:val="none"/>
              </w:rPr>
              <w:t>3、现金银行日记账管理：提供打印现金、银行日记账及流水账功能。</w:t>
            </w:r>
          </w:p>
          <w:p>
            <w:pPr>
              <w:rPr>
                <w:rFonts w:ascii="宋体" w:hAnsi="宋体" w:cs="宋体"/>
                <w:highlight w:val="none"/>
              </w:rPr>
            </w:pPr>
            <w:r>
              <w:rPr>
                <w:rFonts w:hint="eastAsia" w:ascii="宋体" w:hAnsi="宋体" w:cs="宋体"/>
                <w:highlight w:val="none"/>
              </w:rPr>
              <w:t>六、凭证管理与维护</w:t>
            </w:r>
          </w:p>
          <w:p>
            <w:pPr>
              <w:rPr>
                <w:rFonts w:ascii="宋体" w:hAnsi="宋体" w:cs="宋体"/>
                <w:highlight w:val="none"/>
              </w:rPr>
            </w:pPr>
            <w:r>
              <w:rPr>
                <w:rFonts w:hint="eastAsia" w:ascii="宋体" w:hAnsi="宋体" w:cs="宋体"/>
                <w:highlight w:val="none"/>
              </w:rPr>
              <w:t>1、凭证移号管理：支持凭证号码批量调整</w:t>
            </w:r>
          </w:p>
          <w:p>
            <w:pPr>
              <w:rPr>
                <w:rFonts w:ascii="宋体" w:hAnsi="宋体" w:cs="宋体"/>
                <w:highlight w:val="none"/>
              </w:rPr>
            </w:pPr>
            <w:r>
              <w:rPr>
                <w:rFonts w:hint="eastAsia" w:ascii="宋体" w:hAnsi="宋体" w:cs="宋体"/>
                <w:highlight w:val="none"/>
              </w:rPr>
              <w:t>2、工作量统计：提供按照年、月、日期间统计每个操作员所做凭证数量及附件数量的功能。</w:t>
            </w:r>
          </w:p>
          <w:p>
            <w:pPr>
              <w:rPr>
                <w:rFonts w:ascii="宋体" w:hAnsi="宋体" w:cs="宋体"/>
                <w:highlight w:val="none"/>
              </w:rPr>
            </w:pPr>
            <w:r>
              <w:rPr>
                <w:rFonts w:hint="eastAsia" w:ascii="宋体" w:hAnsi="宋体" w:cs="宋体"/>
                <w:highlight w:val="none"/>
              </w:rPr>
              <w:t>3、月份结账处理：实现当月凭证关账功能。关账后当月凭证信息不可更改。</w:t>
            </w:r>
          </w:p>
          <w:p>
            <w:pPr>
              <w:rPr>
                <w:rFonts w:ascii="宋体" w:hAnsi="宋体" w:cs="宋体"/>
                <w:highlight w:val="none"/>
              </w:rPr>
            </w:pPr>
            <w:r>
              <w:rPr>
                <w:rFonts w:hint="eastAsia" w:ascii="宋体" w:hAnsi="宋体" w:cs="宋体"/>
                <w:highlight w:val="none"/>
              </w:rPr>
              <w:t>4、已删除凭证查询：提供对已删除凭证信息的查询功能。可查询凭证删除的日期，详细分录信息等。</w:t>
            </w:r>
          </w:p>
          <w:p>
            <w:pPr>
              <w:rPr>
                <w:rFonts w:ascii="宋体" w:hAnsi="宋体" w:cs="宋体"/>
                <w:highlight w:val="none"/>
              </w:rPr>
            </w:pPr>
            <w:r>
              <w:rPr>
                <w:rFonts w:hint="eastAsia" w:ascii="宋体" w:hAnsi="宋体" w:cs="宋体"/>
                <w:highlight w:val="none"/>
              </w:rPr>
              <w:t>5、凭证导入/导出</w:t>
            </w:r>
            <w:r>
              <w:rPr>
                <w:rFonts w:hint="eastAsia" w:ascii="宋体" w:hAnsi="宋体" w:cs="宋体"/>
                <w:highlight w:val="none"/>
              </w:rPr>
              <w:tab/>
            </w:r>
            <w:r>
              <w:rPr>
                <w:rFonts w:hint="eastAsia" w:ascii="宋体" w:hAnsi="宋体" w:cs="宋体"/>
                <w:highlight w:val="none"/>
              </w:rPr>
              <w:t>提供凭证的批量导入/导出功能，支持Excel及DBF等格式。</w:t>
            </w:r>
          </w:p>
          <w:p>
            <w:pPr>
              <w:rPr>
                <w:rFonts w:ascii="宋体" w:hAnsi="宋体" w:cs="宋体"/>
                <w:highlight w:val="none"/>
              </w:rPr>
            </w:pPr>
            <w:r>
              <w:rPr>
                <w:rFonts w:hint="eastAsia" w:ascii="宋体" w:hAnsi="宋体" w:cs="宋体"/>
                <w:highlight w:val="none"/>
              </w:rPr>
              <w:t>七、账表查询与打印</w:t>
            </w:r>
          </w:p>
          <w:p>
            <w:pPr>
              <w:rPr>
                <w:rFonts w:ascii="宋体" w:hAnsi="宋体" w:cs="宋体"/>
                <w:highlight w:val="none"/>
              </w:rPr>
            </w:pPr>
            <w:r>
              <w:rPr>
                <w:rFonts w:hint="eastAsia" w:ascii="宋体" w:hAnsi="宋体" w:cs="宋体"/>
                <w:highlight w:val="none"/>
              </w:rPr>
              <w:t>1、项目代码浏览：提供项目信息查询及浏览功能</w:t>
            </w:r>
          </w:p>
          <w:p>
            <w:pPr>
              <w:rPr>
                <w:rFonts w:ascii="宋体" w:hAnsi="宋体" w:cs="宋体"/>
                <w:highlight w:val="none"/>
              </w:rPr>
            </w:pPr>
            <w:r>
              <w:rPr>
                <w:rFonts w:hint="eastAsia" w:ascii="宋体" w:hAnsi="宋体" w:cs="宋体"/>
                <w:highlight w:val="none"/>
              </w:rPr>
              <w:t>2、会计科目浏览：提供科目信息查询及浏览功能</w:t>
            </w:r>
          </w:p>
          <w:p>
            <w:pPr>
              <w:rPr>
                <w:rFonts w:ascii="宋体" w:hAnsi="宋体" w:cs="宋体"/>
                <w:highlight w:val="none"/>
              </w:rPr>
            </w:pPr>
            <w:r>
              <w:rPr>
                <w:rFonts w:hint="eastAsia" w:ascii="宋体" w:hAnsi="宋体" w:cs="宋体"/>
                <w:highlight w:val="none"/>
              </w:rPr>
              <w:t>3、科目账本查询汇总：提供科目账本查询功能，并可穿透查询至详细凭证信息；并能支持跨年查询。</w:t>
            </w:r>
          </w:p>
          <w:p>
            <w:pPr>
              <w:rPr>
                <w:rFonts w:ascii="宋体" w:hAnsi="宋体" w:cs="宋体"/>
                <w:highlight w:val="none"/>
              </w:rPr>
            </w:pPr>
            <w:r>
              <w:rPr>
                <w:rFonts w:hint="eastAsia" w:ascii="宋体" w:hAnsi="宋体" w:cs="宋体"/>
                <w:sz w:val="18"/>
                <w:szCs w:val="18"/>
                <w:highlight w:val="none"/>
              </w:rPr>
              <w:t>▲</w:t>
            </w:r>
            <w:r>
              <w:rPr>
                <w:rFonts w:hint="eastAsia" w:ascii="宋体" w:hAnsi="宋体" w:cs="宋体"/>
                <w:highlight w:val="none"/>
              </w:rPr>
              <w:t>4、凭证信息查询汇总：提供凭证信息查询及汇总功能。明细查询信息可穿透至详细凭证；汇总信息可按照科目、项目、核销号、来源科目、经济分类科目等汇总统计。要求必须支持跨年查询。</w:t>
            </w:r>
          </w:p>
          <w:p>
            <w:pPr>
              <w:rPr>
                <w:rFonts w:ascii="宋体" w:hAnsi="宋体" w:cs="宋体"/>
                <w:highlight w:val="none"/>
              </w:rPr>
            </w:pPr>
            <w:r>
              <w:rPr>
                <w:rFonts w:hint="eastAsia" w:ascii="宋体" w:hAnsi="宋体" w:cs="宋体"/>
                <w:highlight w:val="none"/>
              </w:rPr>
              <w:t>5、项目查询汇总：提供项目信息的查询及汇总功能。包括项目的负责人、归属部门、立项时间等立项信息；包括项目的预算执行进度、预算模板、历年明细账、累计余额、项目变动日志、预算变动日志等信息。</w:t>
            </w:r>
          </w:p>
          <w:p>
            <w:pPr>
              <w:rPr>
                <w:rFonts w:ascii="宋体" w:hAnsi="宋体" w:cs="宋体"/>
                <w:highlight w:val="none"/>
              </w:rPr>
            </w:pPr>
            <w:r>
              <w:rPr>
                <w:rFonts w:hint="eastAsia" w:ascii="宋体" w:hAnsi="宋体" w:cs="宋体"/>
                <w:sz w:val="18"/>
                <w:szCs w:val="18"/>
                <w:highlight w:val="none"/>
              </w:rPr>
              <w:t>▲</w:t>
            </w:r>
            <w:r>
              <w:rPr>
                <w:rFonts w:hint="eastAsia" w:ascii="宋体" w:hAnsi="宋体" w:cs="宋体"/>
                <w:highlight w:val="none"/>
              </w:rPr>
              <w:t>6、项目查询汇总：要求支持三级项目信息的查询（包含子项目及不包含子项目）</w:t>
            </w:r>
          </w:p>
          <w:p>
            <w:pPr>
              <w:rPr>
                <w:rFonts w:ascii="宋体" w:hAnsi="宋体" w:cs="宋体"/>
                <w:highlight w:val="none"/>
              </w:rPr>
            </w:pPr>
            <w:r>
              <w:rPr>
                <w:rFonts w:hint="eastAsia" w:ascii="宋体" w:hAnsi="宋体" w:cs="宋体"/>
                <w:highlight w:val="none"/>
              </w:rPr>
              <w:t>7、项目查询汇总：支持跨年查询并穿透查询至相应历年凭证。</w:t>
            </w:r>
          </w:p>
          <w:p>
            <w:pPr>
              <w:rPr>
                <w:rFonts w:ascii="宋体" w:hAnsi="宋体" w:cs="宋体"/>
                <w:highlight w:val="none"/>
              </w:rPr>
            </w:pPr>
            <w:r>
              <w:rPr>
                <w:rFonts w:hint="eastAsia" w:ascii="宋体" w:hAnsi="宋体" w:cs="宋体"/>
                <w:highlight w:val="none"/>
              </w:rPr>
              <w:t>8、往来账本查询：提供往来账目的明细查询，可以按照科目、项目、经办人等条件查询未核销/已核销的往来账目，并可穿透查询至相应凭证。</w:t>
            </w:r>
          </w:p>
          <w:p>
            <w:pPr>
              <w:rPr>
                <w:rFonts w:ascii="宋体" w:hAnsi="宋体" w:cs="宋体"/>
                <w:highlight w:val="none"/>
              </w:rPr>
            </w:pPr>
            <w:r>
              <w:rPr>
                <w:rFonts w:hint="eastAsia" w:ascii="宋体" w:hAnsi="宋体" w:cs="宋体"/>
                <w:highlight w:val="none"/>
              </w:rPr>
              <w:t>9、预算执行情况查询：提供按照预算模板显示项目预算执行情况的查询功能</w:t>
            </w:r>
          </w:p>
          <w:p>
            <w:pPr>
              <w:rPr>
                <w:rFonts w:ascii="宋体" w:hAnsi="宋体" w:cs="宋体"/>
                <w:highlight w:val="none"/>
              </w:rPr>
            </w:pPr>
            <w:r>
              <w:rPr>
                <w:rFonts w:hint="eastAsia" w:ascii="宋体" w:hAnsi="宋体" w:cs="宋体"/>
                <w:highlight w:val="none"/>
              </w:rPr>
              <w:t>10、资金来源查询：提供资金来源账目的查询功能</w:t>
            </w:r>
          </w:p>
          <w:p>
            <w:pPr>
              <w:rPr>
                <w:rFonts w:ascii="宋体" w:hAnsi="宋体" w:cs="宋体"/>
                <w:highlight w:val="none"/>
              </w:rPr>
            </w:pPr>
            <w:r>
              <w:rPr>
                <w:rFonts w:hint="eastAsia" w:ascii="宋体" w:hAnsi="宋体" w:cs="宋体"/>
                <w:highlight w:val="none"/>
              </w:rPr>
              <w:t>11、账龄分析：提供往来账龄分析功能。支持自定义账龄的查询统计。</w:t>
            </w:r>
          </w:p>
          <w:p>
            <w:pPr>
              <w:rPr>
                <w:rFonts w:ascii="宋体" w:hAnsi="宋体" w:cs="宋体"/>
                <w:highlight w:val="none"/>
              </w:rPr>
            </w:pPr>
            <w:r>
              <w:rPr>
                <w:rFonts w:hint="eastAsia" w:ascii="宋体" w:hAnsi="宋体" w:cs="宋体"/>
                <w:highlight w:val="none"/>
              </w:rPr>
              <w:t>12、账本打印输出：提供符合国家要求的账本格式的打印和输出，并支持自定义账本格式的打印。</w:t>
            </w:r>
          </w:p>
          <w:p>
            <w:pPr>
              <w:rPr>
                <w:rFonts w:ascii="宋体" w:hAnsi="宋体" w:cs="宋体"/>
                <w:highlight w:val="none"/>
              </w:rPr>
            </w:pPr>
            <w:r>
              <w:rPr>
                <w:rFonts w:hint="eastAsia" w:ascii="宋体" w:hAnsi="宋体" w:cs="宋体"/>
                <w:highlight w:val="none"/>
              </w:rPr>
              <w:t>八、账目检查与整理</w:t>
            </w:r>
          </w:p>
          <w:p>
            <w:pPr>
              <w:rPr>
                <w:rFonts w:ascii="宋体" w:hAnsi="宋体" w:cs="宋体"/>
                <w:highlight w:val="none"/>
              </w:rPr>
            </w:pPr>
            <w:r>
              <w:rPr>
                <w:rFonts w:hint="eastAsia" w:ascii="宋体" w:hAnsi="宋体" w:cs="宋体"/>
                <w:sz w:val="18"/>
                <w:szCs w:val="18"/>
                <w:highlight w:val="none"/>
              </w:rPr>
              <w:t>▲</w:t>
            </w:r>
            <w:r>
              <w:rPr>
                <w:rFonts w:hint="eastAsia" w:ascii="宋体" w:hAnsi="宋体" w:cs="宋体"/>
                <w:highlight w:val="none"/>
              </w:rPr>
              <w:t>1、超级检查功能：提供系统数据的检查工具（科目与预算模板关联、科目平衡、科目-来源平衡、科目-往来平衡等），保障系统数据的正确性</w:t>
            </w:r>
          </w:p>
          <w:p>
            <w:pPr>
              <w:rPr>
                <w:rFonts w:ascii="宋体" w:hAnsi="宋体" w:cs="宋体"/>
                <w:highlight w:val="none"/>
              </w:rPr>
            </w:pPr>
            <w:r>
              <w:rPr>
                <w:rFonts w:hint="eastAsia" w:ascii="宋体" w:hAnsi="宋体" w:cs="宋体"/>
                <w:sz w:val="18"/>
                <w:szCs w:val="18"/>
                <w:highlight w:val="none"/>
              </w:rPr>
              <w:t>▲</w:t>
            </w:r>
            <w:r>
              <w:rPr>
                <w:rFonts w:hint="eastAsia" w:ascii="宋体" w:hAnsi="宋体" w:cs="宋体"/>
                <w:highlight w:val="none"/>
              </w:rPr>
              <w:t>2、凭证正确性检查：支持对凭证数据的常规检查，检查内容包括未复核凭证、凭证科目的非法、项目非法等。</w:t>
            </w:r>
          </w:p>
          <w:p>
            <w:pPr>
              <w:pStyle w:val="6"/>
              <w:spacing w:before="65"/>
              <w:rPr>
                <w:spacing w:val="8"/>
                <w:szCs w:val="21"/>
                <w:highlight w:val="none"/>
              </w:rPr>
            </w:pPr>
            <w:r>
              <w:rPr>
                <w:rFonts w:hint="eastAsia"/>
                <w:szCs w:val="21"/>
                <w:highlight w:val="none"/>
              </w:rPr>
              <w:t>九、支持所有查询界面所见即所得功能，即可导出Excel。</w:t>
            </w:r>
          </w:p>
        </w:tc>
        <w:tc>
          <w:tcPr>
            <w:tcW w:w="470" w:type="dxa"/>
            <w:vAlign w:val="center"/>
          </w:tcPr>
          <w:p>
            <w:pPr>
              <w:jc w:val="center"/>
              <w:rPr>
                <w:rFonts w:ascii="宋体" w:hAnsi="宋体" w:cs="宋体"/>
                <w:spacing w:val="8"/>
                <w:highlight w:val="none"/>
              </w:rPr>
            </w:pPr>
            <w:r>
              <w:rPr>
                <w:rFonts w:hint="eastAsia" w:ascii="宋体" w:hAnsi="宋体" w:cs="宋体"/>
                <w:highlight w:val="none"/>
              </w:rPr>
              <w:t>1</w:t>
            </w:r>
          </w:p>
        </w:tc>
        <w:tc>
          <w:tcPr>
            <w:tcW w:w="454" w:type="dxa"/>
            <w:vAlign w:val="center"/>
          </w:tcPr>
          <w:p>
            <w:pPr>
              <w:jc w:val="center"/>
              <w:rPr>
                <w:rFonts w:ascii="宋体" w:hAnsi="宋体" w:cs="宋体"/>
                <w:spacing w:val="8"/>
                <w:highlight w:val="none"/>
              </w:rPr>
            </w:pPr>
            <w:r>
              <w:rPr>
                <w:rFonts w:hint="eastAsia" w:ascii="宋体" w:hAnsi="宋体" w:cs="宋体"/>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ascii="宋体" w:hAnsi="宋体" w:cs="宋体"/>
                <w:highlight w:val="none"/>
              </w:rPr>
            </w:pPr>
            <w:r>
              <w:rPr>
                <w:rFonts w:hint="eastAsia" w:ascii="宋体" w:hAnsi="宋体" w:cs="宋体"/>
                <w:highlight w:val="none"/>
              </w:rPr>
              <w:t>2</w:t>
            </w:r>
          </w:p>
        </w:tc>
        <w:tc>
          <w:tcPr>
            <w:tcW w:w="1351" w:type="dxa"/>
            <w:vAlign w:val="center"/>
          </w:tcPr>
          <w:p>
            <w:pPr>
              <w:spacing w:before="65" w:line="360" w:lineRule="auto"/>
              <w:rPr>
                <w:rFonts w:ascii="宋体" w:hAnsi="宋体" w:cs="宋体"/>
                <w:spacing w:val="8"/>
                <w:highlight w:val="none"/>
              </w:rPr>
            </w:pPr>
            <w:r>
              <w:rPr>
                <w:rFonts w:hint="eastAsia" w:ascii="宋体" w:hAnsi="宋体" w:cs="宋体"/>
                <w:highlight w:val="none"/>
              </w:rPr>
              <w:t>工资薪金管理软件</w:t>
            </w:r>
          </w:p>
        </w:tc>
        <w:tc>
          <w:tcPr>
            <w:tcW w:w="6688" w:type="dxa"/>
            <w:vAlign w:val="center"/>
          </w:tcPr>
          <w:p>
            <w:pPr>
              <w:rPr>
                <w:rFonts w:ascii="宋体" w:hAnsi="宋体" w:cs="宋体"/>
                <w:highlight w:val="none"/>
              </w:rPr>
            </w:pPr>
            <w:r>
              <w:rPr>
                <w:rStyle w:val="17"/>
                <w:rFonts w:ascii="Arial" w:hAnsi="Arial" w:eastAsia="Arial" w:cs="Arial"/>
                <w:color w:val="333333"/>
                <w:szCs w:val="21"/>
                <w:highlight w:val="none"/>
                <w:shd w:val="clear" w:color="auto" w:fill="FFFFFF"/>
              </w:rPr>
              <w:t>★</w:t>
            </w:r>
            <w:r>
              <w:rPr>
                <w:rFonts w:hint="eastAsia" w:ascii="宋体" w:hAnsi="宋体" w:cs="宋体"/>
                <w:highlight w:val="none"/>
              </w:rPr>
              <w:t>必须采用本地化部署，不接受公有云部署。</w:t>
            </w:r>
          </w:p>
          <w:p>
            <w:pPr>
              <w:rPr>
                <w:rFonts w:ascii="宋体" w:hAnsi="宋体" w:cs="宋体"/>
                <w:highlight w:val="none"/>
              </w:rPr>
            </w:pPr>
            <w:r>
              <w:rPr>
                <w:rFonts w:hint="eastAsia" w:ascii="宋体" w:hAnsi="宋体" w:cs="宋体"/>
                <w:highlight w:val="none"/>
              </w:rPr>
              <w:t>一、工资管理系统维护</w:t>
            </w:r>
          </w:p>
          <w:p>
            <w:pPr>
              <w:rPr>
                <w:rFonts w:ascii="宋体" w:hAnsi="宋体" w:cs="宋体"/>
                <w:highlight w:val="none"/>
              </w:rPr>
            </w:pPr>
            <w:r>
              <w:rPr>
                <w:rFonts w:hint="eastAsia" w:ascii="宋体" w:hAnsi="宋体" w:cs="宋体"/>
                <w:highlight w:val="none"/>
              </w:rPr>
              <w:t>1、用户权限管理：用户权限管理</w:t>
            </w:r>
          </w:p>
          <w:p>
            <w:pPr>
              <w:rPr>
                <w:rFonts w:ascii="宋体" w:hAnsi="宋体" w:cs="宋体"/>
                <w:highlight w:val="none"/>
              </w:rPr>
            </w:pPr>
            <w:r>
              <w:rPr>
                <w:rFonts w:hint="eastAsia" w:ascii="宋体" w:hAnsi="宋体" w:cs="宋体"/>
                <w:highlight w:val="none"/>
              </w:rPr>
              <w:t>2、工资单公式定义：支持多种工资单格式自动生成及自定义格式</w:t>
            </w:r>
          </w:p>
          <w:p>
            <w:pPr>
              <w:rPr>
                <w:rFonts w:ascii="宋体" w:hAnsi="宋体" w:cs="宋体"/>
                <w:highlight w:val="none"/>
              </w:rPr>
            </w:pPr>
            <w:r>
              <w:rPr>
                <w:rFonts w:hint="eastAsia" w:ascii="宋体" w:hAnsi="宋体" w:cs="宋体"/>
                <w:highlight w:val="none"/>
              </w:rPr>
              <w:t>3、报表格式定义：支持工资明细账、汇总账、变动表等多种报表格式及自定义格式的管理和维护</w:t>
            </w:r>
          </w:p>
          <w:p>
            <w:pPr>
              <w:rPr>
                <w:rFonts w:ascii="宋体" w:hAnsi="宋体" w:cs="宋体"/>
                <w:highlight w:val="none"/>
              </w:rPr>
            </w:pPr>
            <w:r>
              <w:rPr>
                <w:rFonts w:hint="eastAsia" w:ascii="宋体" w:hAnsi="宋体" w:cs="宋体"/>
                <w:highlight w:val="none"/>
              </w:rPr>
              <w:t>4、工资结构定义：提供工资发放项目的管理维护功能，支持工资项目的多批次管理。提供多种工资项目数据的处理方式及计算公式。可针对具体工资项目设置自动停发条件。</w:t>
            </w:r>
          </w:p>
          <w:p>
            <w:pPr>
              <w:rPr>
                <w:rFonts w:ascii="宋体" w:hAnsi="宋体" w:cs="宋体"/>
                <w:highlight w:val="none"/>
              </w:rPr>
            </w:pPr>
            <w:r>
              <w:rPr>
                <w:rFonts w:hint="eastAsia" w:ascii="宋体" w:hAnsi="宋体" w:cs="宋体"/>
                <w:highlight w:val="none"/>
              </w:rPr>
              <w:t>5、个调税税率设定：提供个调税税率管理维护工具，以适应国家税收政策的变化。</w:t>
            </w:r>
          </w:p>
          <w:p>
            <w:pPr>
              <w:rPr>
                <w:rFonts w:ascii="宋体" w:hAnsi="宋体" w:cs="宋体"/>
                <w:highlight w:val="none"/>
              </w:rPr>
            </w:pPr>
            <w:r>
              <w:rPr>
                <w:rFonts w:hint="eastAsia" w:ascii="宋体" w:hAnsi="宋体" w:cs="宋体"/>
                <w:highlight w:val="none"/>
              </w:rPr>
              <w:t>6、数据交换管理：提供便捷的数据交换手段，支持向导式的设置功能；支持数据交换方案的设置及维护。</w:t>
            </w:r>
          </w:p>
          <w:p>
            <w:pPr>
              <w:rPr>
                <w:rFonts w:ascii="宋体" w:hAnsi="宋体" w:cs="宋体"/>
                <w:highlight w:val="none"/>
              </w:rPr>
            </w:pPr>
            <w:r>
              <w:rPr>
                <w:rFonts w:hint="eastAsia" w:ascii="宋体" w:hAnsi="宋体" w:cs="宋体"/>
                <w:highlight w:val="none"/>
              </w:rPr>
              <w:t>7、财务凭证定义：支持工资发放数据自动生成财务凭证，并提供灵活的定义方式。</w:t>
            </w:r>
          </w:p>
          <w:p>
            <w:pPr>
              <w:rPr>
                <w:rFonts w:ascii="宋体" w:hAnsi="宋体" w:cs="宋体"/>
                <w:highlight w:val="none"/>
              </w:rPr>
            </w:pPr>
            <w:r>
              <w:rPr>
                <w:rFonts w:hint="eastAsia" w:ascii="宋体" w:hAnsi="宋体" w:cs="宋体"/>
                <w:highlight w:val="none"/>
              </w:rPr>
              <w:t>8、银行卡格式设置：设置提供银行发放数据的文件格式。</w:t>
            </w:r>
          </w:p>
          <w:p>
            <w:pPr>
              <w:rPr>
                <w:rFonts w:ascii="宋体" w:hAnsi="宋体" w:cs="宋体"/>
                <w:highlight w:val="none"/>
              </w:rPr>
            </w:pPr>
            <w:r>
              <w:rPr>
                <w:rFonts w:hint="eastAsia" w:ascii="宋体" w:hAnsi="宋体" w:cs="宋体"/>
                <w:highlight w:val="none"/>
              </w:rPr>
              <w:t>9、数据同步及共享：支持工资数据与查询系统及周边系统的数据共享和同步。</w:t>
            </w:r>
          </w:p>
          <w:p>
            <w:pPr>
              <w:rPr>
                <w:rFonts w:ascii="宋体" w:hAnsi="宋体" w:cs="宋体"/>
                <w:highlight w:val="none"/>
              </w:rPr>
            </w:pPr>
            <w:r>
              <w:rPr>
                <w:rFonts w:hint="eastAsia" w:ascii="宋体" w:hAnsi="宋体" w:cs="宋体"/>
                <w:highlight w:val="none"/>
              </w:rPr>
              <w:t>二、人员管理</w:t>
            </w:r>
          </w:p>
          <w:p>
            <w:pPr>
              <w:rPr>
                <w:rFonts w:ascii="宋体" w:hAnsi="宋体" w:cs="宋体"/>
                <w:highlight w:val="none"/>
              </w:rPr>
            </w:pPr>
            <w:r>
              <w:rPr>
                <w:rFonts w:hint="eastAsia" w:ascii="宋体" w:hAnsi="宋体" w:cs="宋体"/>
                <w:highlight w:val="none"/>
              </w:rPr>
              <w:t>1、人员信息管理：支持人员信息的维护与管理，支持人员组织结构、职务、职称、类别等属性管理、支持多种银行卡号的关联，要求至少4种。</w:t>
            </w:r>
          </w:p>
          <w:p>
            <w:pPr>
              <w:rPr>
                <w:rFonts w:ascii="宋体" w:hAnsi="宋体" w:cs="宋体"/>
                <w:highlight w:val="none"/>
              </w:rPr>
            </w:pPr>
            <w:r>
              <w:rPr>
                <w:rFonts w:hint="eastAsia" w:ascii="宋体" w:hAnsi="宋体" w:cs="宋体"/>
                <w:highlight w:val="none"/>
              </w:rPr>
              <w:t>2、被删除人员管理：提供被删除人员的查询及管理功能，支持临时删除人员，并可恢复临时删除人员。</w:t>
            </w:r>
          </w:p>
          <w:p>
            <w:pPr>
              <w:rPr>
                <w:rFonts w:ascii="宋体" w:hAnsi="宋体" w:cs="宋体"/>
                <w:highlight w:val="none"/>
              </w:rPr>
            </w:pPr>
            <w:r>
              <w:rPr>
                <w:rFonts w:hint="eastAsia" w:ascii="宋体" w:hAnsi="宋体" w:cs="宋体"/>
                <w:highlight w:val="none"/>
              </w:rPr>
              <w:t>3、部门信息管理：支持二级部门管理，并提供部门信息维护管理功能，并可支持与人事部门的数据同步。</w:t>
            </w:r>
          </w:p>
          <w:p>
            <w:pPr>
              <w:rPr>
                <w:rFonts w:ascii="宋体" w:hAnsi="宋体" w:cs="宋体"/>
                <w:highlight w:val="none"/>
              </w:rPr>
            </w:pPr>
            <w:r>
              <w:rPr>
                <w:rFonts w:hint="eastAsia" w:ascii="宋体" w:hAnsi="宋体" w:cs="宋体"/>
                <w:highlight w:val="none"/>
              </w:rPr>
              <w:t>三、工资维护</w:t>
            </w:r>
          </w:p>
          <w:p>
            <w:pPr>
              <w:rPr>
                <w:rFonts w:ascii="宋体" w:hAnsi="宋体" w:cs="宋体"/>
                <w:highlight w:val="none"/>
              </w:rPr>
            </w:pPr>
            <w:r>
              <w:rPr>
                <w:rFonts w:hint="eastAsia" w:ascii="宋体" w:hAnsi="宋体" w:cs="宋体"/>
                <w:highlight w:val="none"/>
              </w:rPr>
              <w:t>1、个人工资修改：提供按照工号、姓名、姓名首拼码等方式定位人员并修改工资项目的功能，支持设置过公式的发放项目自动计算。</w:t>
            </w:r>
          </w:p>
          <w:p>
            <w:pPr>
              <w:rPr>
                <w:rFonts w:ascii="宋体" w:hAnsi="宋体" w:cs="宋体"/>
                <w:highlight w:val="none"/>
              </w:rPr>
            </w:pPr>
            <w:r>
              <w:rPr>
                <w:rFonts w:hint="eastAsia" w:ascii="宋体" w:hAnsi="宋体" w:cs="宋体"/>
                <w:highlight w:val="none"/>
              </w:rPr>
              <w:t>2、多人工资修改：提供多人同时修改工资项目的功能。</w:t>
            </w:r>
          </w:p>
          <w:p>
            <w:pPr>
              <w:rPr>
                <w:rFonts w:ascii="宋体" w:hAnsi="宋体" w:cs="宋体"/>
                <w:highlight w:val="none"/>
              </w:rPr>
            </w:pPr>
            <w:r>
              <w:rPr>
                <w:rFonts w:hint="eastAsia" w:ascii="宋体" w:hAnsi="宋体" w:cs="宋体"/>
                <w:highlight w:val="none"/>
              </w:rPr>
              <w:t>3、按公式修改工资：提供按照公式批量修改多人工资项目的功能。</w:t>
            </w:r>
          </w:p>
          <w:p>
            <w:pPr>
              <w:rPr>
                <w:rFonts w:ascii="宋体" w:hAnsi="宋体" w:cs="宋体"/>
                <w:highlight w:val="none"/>
              </w:rPr>
            </w:pPr>
            <w:r>
              <w:rPr>
                <w:rFonts w:hint="eastAsia" w:ascii="宋体" w:hAnsi="宋体" w:cs="宋体"/>
                <w:highlight w:val="none"/>
              </w:rPr>
              <w:t>4、工资生成：提供按照条件批量生成当月工资的功能</w:t>
            </w:r>
          </w:p>
          <w:p>
            <w:pPr>
              <w:rPr>
                <w:rFonts w:ascii="宋体" w:hAnsi="宋体" w:cs="宋体"/>
                <w:highlight w:val="none"/>
              </w:rPr>
            </w:pPr>
            <w:r>
              <w:rPr>
                <w:rFonts w:hint="eastAsia" w:ascii="宋体" w:hAnsi="宋体" w:cs="宋体"/>
                <w:highlight w:val="none"/>
              </w:rPr>
              <w:t>5、批量扣款管理：支持通过外部数据文件，批量扣款功能</w:t>
            </w:r>
          </w:p>
          <w:p>
            <w:pPr>
              <w:rPr>
                <w:rFonts w:ascii="宋体" w:hAnsi="宋体" w:cs="宋体"/>
                <w:highlight w:val="none"/>
              </w:rPr>
            </w:pPr>
            <w:r>
              <w:rPr>
                <w:rFonts w:hint="eastAsia" w:ascii="宋体" w:hAnsi="宋体" w:cs="宋体"/>
                <w:highlight w:val="none"/>
              </w:rPr>
              <w:t>四、工资管理</w:t>
            </w:r>
          </w:p>
          <w:p>
            <w:pPr>
              <w:rPr>
                <w:rFonts w:ascii="宋体" w:hAnsi="宋体" w:cs="宋体"/>
                <w:highlight w:val="none"/>
              </w:rPr>
            </w:pPr>
            <w:r>
              <w:rPr>
                <w:rFonts w:hint="eastAsia" w:ascii="宋体" w:hAnsi="宋体" w:cs="宋体"/>
                <w:highlight w:val="none"/>
              </w:rPr>
              <w:t>1、工资查询统计：支持历年工资数据的查询及统计，支持工资变动数据查询，支持工资按照部门、职务、职称等属性的汇总统计</w:t>
            </w:r>
          </w:p>
          <w:p>
            <w:pPr>
              <w:rPr>
                <w:rFonts w:ascii="宋体" w:hAnsi="宋体" w:cs="宋体"/>
                <w:highlight w:val="none"/>
              </w:rPr>
            </w:pPr>
            <w:r>
              <w:rPr>
                <w:rFonts w:hint="eastAsia" w:ascii="宋体" w:hAnsi="宋体" w:cs="宋体"/>
                <w:highlight w:val="none"/>
              </w:rPr>
              <w:t>2、工资单打印：提供工资单打印功能，可自由设置打印分组条件</w:t>
            </w:r>
          </w:p>
          <w:p>
            <w:pPr>
              <w:rPr>
                <w:rFonts w:ascii="宋体" w:hAnsi="宋体" w:cs="宋体"/>
                <w:highlight w:val="none"/>
              </w:rPr>
            </w:pPr>
            <w:r>
              <w:rPr>
                <w:rFonts w:hint="eastAsia" w:ascii="宋体" w:hAnsi="宋体" w:cs="宋体"/>
                <w:highlight w:val="none"/>
              </w:rPr>
              <w:t>3、工资报表打印：提供工资报表打印功能</w:t>
            </w:r>
          </w:p>
          <w:p>
            <w:pPr>
              <w:rPr>
                <w:rFonts w:ascii="宋体" w:hAnsi="宋体" w:cs="宋体"/>
                <w:highlight w:val="none"/>
              </w:rPr>
            </w:pPr>
            <w:r>
              <w:rPr>
                <w:rFonts w:hint="eastAsia" w:ascii="宋体" w:hAnsi="宋体" w:cs="宋体"/>
                <w:highlight w:val="none"/>
              </w:rPr>
              <w:t>4、工资数据结账：提供当月工资数据结账功能，结账后数据不可修改。</w:t>
            </w:r>
          </w:p>
          <w:p>
            <w:pPr>
              <w:rPr>
                <w:rFonts w:ascii="宋体" w:hAnsi="宋体" w:cs="宋体"/>
                <w:highlight w:val="none"/>
              </w:rPr>
            </w:pPr>
            <w:r>
              <w:rPr>
                <w:rFonts w:hint="eastAsia" w:ascii="宋体" w:hAnsi="宋体" w:cs="宋体"/>
                <w:highlight w:val="none"/>
              </w:rPr>
              <w:t>5、银行转账文件生成：提供工资数据生成银行所需的格式，或与银行通过数据接口，实现工资的发放。</w:t>
            </w:r>
          </w:p>
          <w:p>
            <w:pPr>
              <w:rPr>
                <w:rFonts w:ascii="宋体" w:hAnsi="宋体" w:cs="宋体"/>
                <w:highlight w:val="none"/>
              </w:rPr>
            </w:pPr>
            <w:r>
              <w:rPr>
                <w:rFonts w:hint="eastAsia" w:ascii="宋体" w:hAnsi="宋体" w:cs="宋体"/>
                <w:highlight w:val="none"/>
              </w:rPr>
              <w:t>6、财务凭证生成：能够在工资系统中生成财务预转账凭证</w:t>
            </w:r>
          </w:p>
          <w:p>
            <w:pPr>
              <w:rPr>
                <w:rFonts w:ascii="宋体" w:hAnsi="宋体" w:cs="宋体"/>
                <w:highlight w:val="none"/>
              </w:rPr>
            </w:pPr>
            <w:r>
              <w:rPr>
                <w:rFonts w:hint="eastAsia" w:ascii="宋体" w:hAnsi="宋体" w:cs="宋体"/>
                <w:highlight w:val="none"/>
              </w:rPr>
              <w:t>7、工资查询：可以通过查询系统实时查询工资明细。</w:t>
            </w:r>
          </w:p>
          <w:p>
            <w:pPr>
              <w:rPr>
                <w:rFonts w:ascii="宋体" w:hAnsi="宋体" w:cs="宋体"/>
                <w:highlight w:val="none"/>
              </w:rPr>
            </w:pPr>
            <w:r>
              <w:rPr>
                <w:rFonts w:hint="eastAsia" w:ascii="宋体" w:hAnsi="宋体" w:cs="宋体"/>
                <w:highlight w:val="none"/>
              </w:rPr>
              <w:t>五、酬金系统维护</w:t>
            </w:r>
          </w:p>
          <w:p>
            <w:pPr>
              <w:rPr>
                <w:rFonts w:ascii="宋体" w:hAnsi="宋体" w:cs="宋体"/>
                <w:highlight w:val="none"/>
              </w:rPr>
            </w:pPr>
            <w:r>
              <w:rPr>
                <w:rFonts w:hint="eastAsia" w:ascii="宋体" w:hAnsi="宋体" w:cs="宋体"/>
                <w:highlight w:val="none"/>
              </w:rPr>
              <w:t>1、用户管理：用户权限管理</w:t>
            </w:r>
          </w:p>
          <w:p>
            <w:pPr>
              <w:rPr>
                <w:rFonts w:ascii="宋体" w:hAnsi="宋体" w:cs="宋体"/>
                <w:highlight w:val="none"/>
              </w:rPr>
            </w:pPr>
            <w:r>
              <w:rPr>
                <w:rFonts w:hint="eastAsia" w:ascii="宋体" w:hAnsi="宋体" w:cs="宋体"/>
                <w:highlight w:val="none"/>
              </w:rPr>
              <w:t>2、税率设置：提供税率管理维护工具，以适应国家税收政策的变化。要求支持计税函数设置、反税函数设置以数据符合要求的个调税申报表</w:t>
            </w:r>
          </w:p>
          <w:p>
            <w:pPr>
              <w:rPr>
                <w:rFonts w:ascii="宋体" w:hAnsi="宋体" w:cs="宋体"/>
                <w:highlight w:val="none"/>
              </w:rPr>
            </w:pPr>
            <w:r>
              <w:rPr>
                <w:rFonts w:hint="eastAsia" w:ascii="宋体" w:hAnsi="宋体" w:cs="宋体"/>
                <w:highlight w:val="none"/>
              </w:rPr>
              <w:t>3、计税设置：支持多种税种的设置，并设置使用的不同税率，及与工资系统工资项目的累进计算方式，支持年终奖计税方法。支持将人员类型和酬金性质进行关联，实现不同人员类型的税率关联。</w:t>
            </w:r>
          </w:p>
          <w:p>
            <w:pPr>
              <w:rPr>
                <w:rFonts w:ascii="宋体" w:hAnsi="宋体" w:eastAsia="仿宋_GB2312" w:cs="宋体"/>
                <w:highlight w:val="none"/>
              </w:rPr>
            </w:pPr>
            <w:r>
              <w:rPr>
                <w:rFonts w:hint="eastAsia" w:ascii="宋体" w:hAnsi="宋体" w:cs="宋体"/>
                <w:highlight w:val="none"/>
              </w:rPr>
              <w:t>4、酬金性质设置：支持多种酬金性质的维护管理，如工资、部门绩效津贴、其他劳务等，并可根据酬金性质设置是否允许网上录入、是否允许按月发放、酬金减半计税等。</w:t>
            </w:r>
          </w:p>
          <w:p>
            <w:pPr>
              <w:rPr>
                <w:rFonts w:ascii="宋体" w:hAnsi="宋体" w:cs="宋体"/>
                <w:highlight w:val="none"/>
              </w:rPr>
            </w:pPr>
            <w:r>
              <w:rPr>
                <w:rFonts w:hint="eastAsia" w:ascii="宋体" w:hAnsi="宋体" w:cs="宋体"/>
                <w:highlight w:val="none"/>
              </w:rPr>
              <w:t>5、财务关联设置：设置酬金系统与财务系统的数据接口，以获取财务中经费信息，实现酬金发放与财务经费的关联。</w:t>
            </w:r>
          </w:p>
          <w:p>
            <w:pPr>
              <w:rPr>
                <w:rFonts w:ascii="宋体" w:hAnsi="宋体" w:cs="宋体"/>
                <w:highlight w:val="none"/>
              </w:rPr>
            </w:pPr>
            <w:r>
              <w:rPr>
                <w:rFonts w:hint="eastAsia" w:ascii="宋体" w:hAnsi="宋体" w:cs="宋体"/>
                <w:highlight w:val="none"/>
              </w:rPr>
              <w:t>6、银行卡格式设置：设置提供银行发放数据的文件格式。</w:t>
            </w:r>
          </w:p>
          <w:p>
            <w:pPr>
              <w:rPr>
                <w:rFonts w:ascii="宋体" w:hAnsi="宋体" w:cs="宋体"/>
                <w:highlight w:val="none"/>
              </w:rPr>
            </w:pPr>
            <w:r>
              <w:rPr>
                <w:rFonts w:hint="eastAsia" w:ascii="宋体" w:hAnsi="宋体" w:cs="宋体"/>
                <w:highlight w:val="none"/>
              </w:rPr>
              <w:t>六、数据同步管理</w:t>
            </w:r>
          </w:p>
          <w:p>
            <w:pPr>
              <w:rPr>
                <w:rFonts w:ascii="宋体" w:hAnsi="宋体" w:cs="宋体"/>
                <w:highlight w:val="none"/>
              </w:rPr>
            </w:pPr>
            <w:r>
              <w:rPr>
                <w:rFonts w:hint="eastAsia" w:ascii="宋体" w:hAnsi="宋体" w:cs="宋体"/>
                <w:highlight w:val="none"/>
              </w:rPr>
              <w:t>1、部门班组同步：设置与工资系统、学生收费系统等其他系统组织结构的同步方式</w:t>
            </w:r>
          </w:p>
          <w:p>
            <w:pPr>
              <w:rPr>
                <w:rFonts w:ascii="宋体" w:hAnsi="宋体" w:cs="宋体"/>
                <w:highlight w:val="none"/>
              </w:rPr>
            </w:pPr>
            <w:r>
              <w:rPr>
                <w:rFonts w:hint="eastAsia" w:ascii="宋体" w:hAnsi="宋体" w:cs="宋体"/>
                <w:highlight w:val="none"/>
              </w:rPr>
              <w:t>2、人员基本信息同步：设置与工资系统、学生收费系统等其他系统人员信息的同步方式</w:t>
            </w:r>
          </w:p>
          <w:p>
            <w:pPr>
              <w:rPr>
                <w:rFonts w:ascii="宋体" w:hAnsi="宋体" w:cs="宋体"/>
                <w:highlight w:val="none"/>
              </w:rPr>
            </w:pPr>
            <w:r>
              <w:rPr>
                <w:rFonts w:hint="eastAsia" w:ascii="宋体" w:hAnsi="宋体" w:cs="宋体"/>
                <w:highlight w:val="none"/>
              </w:rPr>
              <w:t>3、收入数据同步：设置与工资系统等其他系统输入数据的同步方式</w:t>
            </w:r>
          </w:p>
          <w:p>
            <w:pPr>
              <w:rPr>
                <w:rFonts w:ascii="宋体" w:hAnsi="宋体" w:cs="宋体"/>
                <w:highlight w:val="none"/>
              </w:rPr>
            </w:pPr>
            <w:r>
              <w:rPr>
                <w:rFonts w:hint="eastAsia" w:ascii="宋体" w:hAnsi="宋体" w:cs="宋体"/>
                <w:highlight w:val="none"/>
              </w:rPr>
              <w:t>七、人员管理</w:t>
            </w:r>
            <w:r>
              <w:rPr>
                <w:rFonts w:hint="eastAsia" w:ascii="宋体" w:hAnsi="宋体" w:cs="宋体"/>
                <w:highlight w:val="none"/>
              </w:rPr>
              <w:tab/>
            </w:r>
          </w:p>
          <w:p>
            <w:pPr>
              <w:rPr>
                <w:rFonts w:ascii="宋体" w:hAnsi="宋体" w:cs="宋体"/>
                <w:highlight w:val="none"/>
              </w:rPr>
            </w:pPr>
            <w:r>
              <w:rPr>
                <w:rFonts w:hint="eastAsia" w:ascii="宋体" w:hAnsi="宋体" w:cs="宋体"/>
                <w:highlight w:val="none"/>
              </w:rPr>
              <w:t>1、人员信息管理：对系统内人员信息的维护管理</w:t>
            </w:r>
          </w:p>
          <w:p>
            <w:pPr>
              <w:rPr>
                <w:rFonts w:ascii="宋体" w:hAnsi="宋体" w:cs="宋体"/>
                <w:highlight w:val="none"/>
              </w:rPr>
            </w:pPr>
            <w:r>
              <w:rPr>
                <w:rFonts w:hint="eastAsia" w:ascii="宋体" w:hAnsi="宋体" w:cs="宋体"/>
                <w:highlight w:val="none"/>
              </w:rPr>
              <w:t>2、人员类型管理：实现人员类型的维护管理，并可进行酬金系统人员类型和反税函数之间的关联设置</w:t>
            </w:r>
          </w:p>
          <w:p>
            <w:pPr>
              <w:rPr>
                <w:rFonts w:ascii="宋体" w:hAnsi="宋体" w:cs="宋体"/>
                <w:highlight w:val="none"/>
              </w:rPr>
            </w:pPr>
            <w:r>
              <w:rPr>
                <w:rFonts w:hint="eastAsia" w:ascii="宋体" w:hAnsi="宋体" w:cs="宋体"/>
                <w:highlight w:val="none"/>
              </w:rPr>
              <w:t>3、人员收入导入：实现从外部excel文件批量导入人员信息到酬金系统中</w:t>
            </w:r>
          </w:p>
          <w:p>
            <w:pPr>
              <w:rPr>
                <w:rFonts w:ascii="宋体" w:hAnsi="宋体" w:cs="宋体"/>
                <w:highlight w:val="none"/>
              </w:rPr>
            </w:pPr>
            <w:r>
              <w:rPr>
                <w:rFonts w:hint="eastAsia" w:ascii="宋体" w:hAnsi="宋体" w:cs="宋体"/>
                <w:highlight w:val="none"/>
              </w:rPr>
              <w:t>4、组织结构管理：实现系统内人员组织结构的维护管理。</w:t>
            </w:r>
          </w:p>
          <w:p>
            <w:pPr>
              <w:rPr>
                <w:rFonts w:ascii="宋体" w:hAnsi="宋体" w:cs="宋体"/>
                <w:highlight w:val="none"/>
              </w:rPr>
            </w:pPr>
            <w:r>
              <w:rPr>
                <w:rFonts w:hint="eastAsia" w:ascii="宋体" w:hAnsi="宋体" w:cs="宋体"/>
                <w:highlight w:val="none"/>
              </w:rPr>
              <w:t>八、酬金业务管理</w:t>
            </w:r>
            <w:r>
              <w:rPr>
                <w:rFonts w:hint="eastAsia" w:ascii="宋体" w:hAnsi="宋体" w:cs="宋体"/>
                <w:highlight w:val="none"/>
              </w:rPr>
              <w:tab/>
            </w:r>
          </w:p>
          <w:p>
            <w:pPr>
              <w:rPr>
                <w:rFonts w:ascii="宋体" w:hAnsi="宋体" w:cs="宋体"/>
                <w:highlight w:val="none"/>
              </w:rPr>
            </w:pPr>
            <w:r>
              <w:rPr>
                <w:rFonts w:hint="eastAsia" w:ascii="宋体" w:hAnsi="宋体" w:cs="宋体"/>
                <w:highlight w:val="none"/>
              </w:rPr>
              <w:t>1、酬金录入：提供酬金发放数据的录入管理功能。可手工录入发放清单，可通过excel导入，也可通过酬金网上申报系统导入系统。</w:t>
            </w:r>
          </w:p>
          <w:p>
            <w:pPr>
              <w:rPr>
                <w:rFonts w:ascii="宋体" w:hAnsi="宋体" w:cs="宋体"/>
                <w:highlight w:val="none"/>
              </w:rPr>
            </w:pPr>
            <w:r>
              <w:rPr>
                <w:rFonts w:hint="eastAsia" w:ascii="宋体" w:hAnsi="宋体" w:cs="宋体"/>
                <w:highlight w:val="none"/>
              </w:rPr>
              <w:t>2、酬金审核：审核酬金发放凭证的发放数据，审核通过的发放清单不可修改</w:t>
            </w:r>
          </w:p>
          <w:p>
            <w:pPr>
              <w:rPr>
                <w:rFonts w:ascii="宋体" w:hAnsi="宋体" w:cs="宋体"/>
                <w:highlight w:val="none"/>
              </w:rPr>
            </w:pPr>
            <w:r>
              <w:rPr>
                <w:rFonts w:hint="eastAsia" w:ascii="宋体" w:hAnsi="宋体" w:cs="宋体"/>
                <w:highlight w:val="none"/>
              </w:rPr>
              <w:t>3、酬金反审核：反审核酬金发放清单至未审核状态。</w:t>
            </w:r>
          </w:p>
          <w:p>
            <w:pPr>
              <w:rPr>
                <w:rFonts w:ascii="宋体" w:hAnsi="宋体" w:cs="宋体"/>
                <w:highlight w:val="none"/>
              </w:rPr>
            </w:pPr>
            <w:r>
              <w:rPr>
                <w:rFonts w:hint="eastAsia" w:ascii="宋体" w:hAnsi="宋体" w:cs="宋体"/>
                <w:highlight w:val="none"/>
              </w:rPr>
              <w:t>4、数据加锁：锁定当月酬金数据，锁定后当月数据不可修改</w:t>
            </w:r>
          </w:p>
          <w:p>
            <w:pPr>
              <w:rPr>
                <w:rFonts w:ascii="宋体" w:hAnsi="宋体" w:cs="宋体"/>
                <w:highlight w:val="none"/>
              </w:rPr>
            </w:pPr>
            <w:r>
              <w:rPr>
                <w:rFonts w:hint="eastAsia" w:ascii="宋体" w:hAnsi="宋体" w:cs="宋体"/>
                <w:highlight w:val="none"/>
              </w:rPr>
              <w:t>5、酬金报税：自动生成符合税务要求的个人所得税数据申报表，可上报税务部门</w:t>
            </w:r>
          </w:p>
          <w:p>
            <w:pPr>
              <w:rPr>
                <w:rFonts w:ascii="宋体" w:hAnsi="宋体" w:cs="宋体"/>
                <w:highlight w:val="none"/>
              </w:rPr>
            </w:pPr>
            <w:r>
              <w:rPr>
                <w:rFonts w:hint="eastAsia" w:ascii="宋体" w:hAnsi="宋体" w:cs="宋体"/>
                <w:highlight w:val="none"/>
              </w:rPr>
              <w:t>6、酬金查询统计：提供酬金发放数据的多种查询汇总功能，生成相应查询、统计报表。可按照酬金性质，人员性质、部门的条件检索，汇总。</w:t>
            </w:r>
          </w:p>
          <w:p>
            <w:pPr>
              <w:rPr>
                <w:rFonts w:ascii="宋体" w:hAnsi="宋体" w:cs="宋体"/>
                <w:highlight w:val="none"/>
              </w:rPr>
            </w:pPr>
            <w:r>
              <w:rPr>
                <w:rFonts w:hint="eastAsia" w:ascii="宋体" w:hAnsi="宋体" w:cs="宋体"/>
                <w:highlight w:val="none"/>
              </w:rPr>
              <w:t>7、生成财务凭证：生成财务凭证，并关联凭证号</w:t>
            </w:r>
          </w:p>
          <w:p>
            <w:pPr>
              <w:rPr>
                <w:rFonts w:ascii="宋体" w:hAnsi="宋体" w:cs="宋体"/>
                <w:highlight w:val="none"/>
              </w:rPr>
            </w:pPr>
            <w:r>
              <w:rPr>
                <w:rFonts w:hint="eastAsia" w:ascii="宋体" w:hAnsi="宋体" w:cs="宋体"/>
                <w:highlight w:val="none"/>
              </w:rPr>
              <w:t>九、酬金网上申报：通过财务网站实现校内各个部门酬金发放数据的网上申报。提供网上excel导入等多种数据录入方式。</w:t>
            </w:r>
          </w:p>
          <w:p>
            <w:pPr>
              <w:rPr>
                <w:rFonts w:ascii="宋体" w:hAnsi="宋体" w:cs="宋体"/>
                <w:highlight w:val="none"/>
              </w:rPr>
            </w:pPr>
            <w:r>
              <w:rPr>
                <w:rFonts w:hint="eastAsia" w:ascii="宋体" w:hAnsi="宋体" w:cs="宋体"/>
                <w:highlight w:val="none"/>
              </w:rPr>
              <w:t>十、酬金查询：可以通过财务网上查询系统实时查询酬金发放情况。</w:t>
            </w:r>
          </w:p>
          <w:p>
            <w:pPr>
              <w:rPr>
                <w:rFonts w:ascii="宋体" w:hAnsi="宋体" w:cs="宋体"/>
                <w:highlight w:val="none"/>
              </w:rPr>
            </w:pPr>
            <w:r>
              <w:rPr>
                <w:rFonts w:hint="eastAsia" w:ascii="宋体" w:hAnsi="宋体" w:cs="宋体"/>
                <w:highlight w:val="none"/>
              </w:rPr>
              <w:t>十一、酬金网上申报：通过财务网站实现校内各个部门酬金发放数据的网上申报。提供网上单笔录入功能、网上excel导入数据方式、提供网上历史清单导入数据方式</w:t>
            </w:r>
          </w:p>
          <w:p>
            <w:pPr>
              <w:rPr>
                <w:rFonts w:ascii="宋体" w:hAnsi="宋体" w:cs="宋体"/>
                <w:highlight w:val="none"/>
              </w:rPr>
            </w:pPr>
            <w:r>
              <w:rPr>
                <w:rFonts w:hint="eastAsia" w:ascii="宋体" w:hAnsi="宋体" w:cs="宋体"/>
                <w:highlight w:val="none"/>
              </w:rPr>
              <w:t>十二、财务预算控制：在网上酬金录入的同时，可实时控制财务预算项，保证不会出现指标超支等情况。</w:t>
            </w:r>
          </w:p>
          <w:p>
            <w:pPr>
              <w:rPr>
                <w:rFonts w:ascii="宋体" w:hAnsi="宋体" w:cs="宋体"/>
                <w:highlight w:val="none"/>
              </w:rPr>
            </w:pPr>
            <w:r>
              <w:rPr>
                <w:rFonts w:hint="eastAsia" w:ascii="宋体" w:hAnsi="宋体" w:cs="宋体"/>
                <w:highlight w:val="none"/>
              </w:rPr>
              <w:t xml:space="preserve">十三、管理教职工工资外的其他收入（补助、津贴、酬金等）， 并与工资系统应税基数合并计税，包括工薪税、劳务税，支持多种计税方案。 </w:t>
            </w:r>
          </w:p>
          <w:p>
            <w:pPr>
              <w:rPr>
                <w:rFonts w:ascii="宋体" w:hAnsi="宋体" w:cs="宋体"/>
                <w:highlight w:val="none"/>
              </w:rPr>
            </w:pPr>
            <w:r>
              <w:rPr>
                <w:rFonts w:hint="eastAsia" w:ascii="宋体" w:hAnsi="宋体" w:cs="宋体"/>
                <w:highlight w:val="none"/>
              </w:rPr>
              <w:t>十四、管理包括教职工、学生、长短期临时工、外教等。</w:t>
            </w:r>
          </w:p>
        </w:tc>
        <w:tc>
          <w:tcPr>
            <w:tcW w:w="470" w:type="dxa"/>
            <w:vAlign w:val="center"/>
          </w:tcPr>
          <w:p>
            <w:pPr>
              <w:jc w:val="center"/>
              <w:rPr>
                <w:rFonts w:ascii="宋体" w:hAnsi="宋体" w:cs="宋体"/>
                <w:spacing w:val="8"/>
                <w:highlight w:val="none"/>
              </w:rPr>
            </w:pPr>
            <w:r>
              <w:rPr>
                <w:rFonts w:hint="eastAsia" w:ascii="宋体" w:hAnsi="宋体" w:cs="宋体"/>
                <w:highlight w:val="none"/>
              </w:rPr>
              <w:t>1</w:t>
            </w:r>
          </w:p>
        </w:tc>
        <w:tc>
          <w:tcPr>
            <w:tcW w:w="454" w:type="dxa"/>
            <w:vAlign w:val="center"/>
          </w:tcPr>
          <w:p>
            <w:pPr>
              <w:jc w:val="center"/>
              <w:rPr>
                <w:rFonts w:ascii="宋体" w:hAnsi="宋体" w:cs="宋体"/>
                <w:spacing w:val="8"/>
                <w:highlight w:val="none"/>
              </w:rPr>
            </w:pPr>
            <w:r>
              <w:rPr>
                <w:rFonts w:hint="eastAsia" w:ascii="宋体" w:hAnsi="宋体" w:cs="宋体"/>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ascii="宋体" w:hAnsi="宋体" w:cs="宋体"/>
                <w:highlight w:val="none"/>
              </w:rPr>
            </w:pPr>
            <w:r>
              <w:rPr>
                <w:rFonts w:hint="eastAsia" w:ascii="宋体" w:hAnsi="宋体" w:cs="宋体"/>
                <w:highlight w:val="none"/>
              </w:rPr>
              <w:t>3</w:t>
            </w:r>
          </w:p>
        </w:tc>
        <w:tc>
          <w:tcPr>
            <w:tcW w:w="1351" w:type="dxa"/>
            <w:vAlign w:val="center"/>
          </w:tcPr>
          <w:p>
            <w:pPr>
              <w:spacing w:before="65" w:line="360" w:lineRule="auto"/>
              <w:rPr>
                <w:rFonts w:ascii="宋体" w:hAnsi="宋体" w:cs="宋体"/>
                <w:spacing w:val="8"/>
                <w:highlight w:val="none"/>
              </w:rPr>
            </w:pPr>
            <w:r>
              <w:rPr>
                <w:rFonts w:hint="eastAsia" w:ascii="宋体" w:hAnsi="宋体" w:cs="宋体"/>
                <w:highlight w:val="none"/>
              </w:rPr>
              <w:t>网上查询软件</w:t>
            </w:r>
          </w:p>
        </w:tc>
        <w:tc>
          <w:tcPr>
            <w:tcW w:w="6688" w:type="dxa"/>
            <w:vAlign w:val="center"/>
          </w:tcPr>
          <w:p>
            <w:pPr>
              <w:rPr>
                <w:rFonts w:ascii="宋体" w:hAnsi="宋体" w:cs="宋体"/>
                <w:highlight w:val="none"/>
              </w:rPr>
            </w:pPr>
            <w:r>
              <w:rPr>
                <w:rStyle w:val="17"/>
                <w:rFonts w:ascii="Arial" w:hAnsi="Arial" w:eastAsia="Arial" w:cs="Arial"/>
                <w:color w:val="333333"/>
                <w:szCs w:val="21"/>
                <w:highlight w:val="none"/>
                <w:shd w:val="clear" w:color="auto" w:fill="FFFFFF"/>
              </w:rPr>
              <w:t>★</w:t>
            </w:r>
            <w:r>
              <w:rPr>
                <w:rFonts w:hint="eastAsia" w:ascii="宋体" w:hAnsi="宋体" w:cs="宋体"/>
                <w:highlight w:val="none"/>
              </w:rPr>
              <w:t>必须采用本地化部署，不接受公有云部署。</w:t>
            </w:r>
          </w:p>
          <w:p>
            <w:pPr>
              <w:rPr>
                <w:rFonts w:ascii="宋体" w:hAnsi="宋体" w:cs="宋体"/>
                <w:highlight w:val="none"/>
              </w:rPr>
            </w:pPr>
            <w:r>
              <w:rPr>
                <w:rFonts w:hint="eastAsia" w:ascii="宋体" w:hAnsi="宋体" w:cs="宋体"/>
                <w:highlight w:val="none"/>
              </w:rPr>
              <w:t>1、学生/教职工/领导登录平台，根据用户的权限不同，显示的信息及查询的内容不同。</w:t>
            </w:r>
          </w:p>
          <w:p>
            <w:pPr>
              <w:rPr>
                <w:rFonts w:ascii="宋体" w:hAnsi="宋体" w:cs="宋体"/>
                <w:highlight w:val="none"/>
              </w:rPr>
            </w:pPr>
            <w:r>
              <w:rPr>
                <w:rFonts w:hint="eastAsia" w:ascii="宋体" w:hAnsi="宋体" w:cs="宋体"/>
                <w:highlight w:val="none"/>
              </w:rPr>
              <w:t>2、薪酬查询：必须与工资薪金管理软件实时相连，并提供教职员工酬金、个人收入等信息的查询功能。</w:t>
            </w:r>
          </w:p>
          <w:p>
            <w:pPr>
              <w:rPr>
                <w:rFonts w:ascii="宋体" w:hAnsi="宋体" w:cs="宋体"/>
                <w:highlight w:val="none"/>
              </w:rPr>
            </w:pPr>
            <w:r>
              <w:rPr>
                <w:rFonts w:hint="eastAsia" w:ascii="宋体" w:hAnsi="宋体" w:cs="宋体"/>
                <w:highlight w:val="none"/>
              </w:rPr>
              <w:t>3、项目查询：必须与财务管理软件实时相连，显示与当前登录人有关的所有项目、有效项目、无效项目、隐藏项目。在我的项目列表里可查询项目的总预算情况和总执行情况，亦可实时查询预算明细和执行明细；</w:t>
            </w:r>
          </w:p>
          <w:p>
            <w:pPr>
              <w:pStyle w:val="6"/>
              <w:rPr>
                <w:highlight w:val="none"/>
              </w:rPr>
            </w:pPr>
            <w:r>
              <w:rPr>
                <w:rFonts w:hint="eastAsia"/>
                <w:szCs w:val="21"/>
                <w:highlight w:val="none"/>
              </w:rPr>
              <w:t>4、收费查询：必须与学生收费软件（不包含在本软件中）实时相连，学生或者学院领导登陆后可查询学生缴费情况等。</w:t>
            </w:r>
          </w:p>
          <w:p>
            <w:pPr>
              <w:rPr>
                <w:rFonts w:ascii="宋体" w:hAnsi="宋体" w:cs="宋体"/>
                <w:highlight w:val="none"/>
              </w:rPr>
            </w:pPr>
            <w:r>
              <w:rPr>
                <w:rFonts w:hint="eastAsia" w:ascii="宋体" w:hAnsi="宋体" w:cs="宋体"/>
                <w:highlight w:val="none"/>
              </w:rPr>
              <w:t>5、支持特定对象的数据发布。</w:t>
            </w:r>
          </w:p>
          <w:p>
            <w:pPr>
              <w:rPr>
                <w:rFonts w:ascii="宋体" w:hAnsi="宋体" w:cs="宋体"/>
                <w:spacing w:val="8"/>
                <w:highlight w:val="none"/>
              </w:rPr>
            </w:pPr>
            <w:r>
              <w:rPr>
                <w:rFonts w:hint="eastAsia" w:ascii="宋体" w:hAnsi="宋体" w:cs="宋体"/>
                <w:highlight w:val="none"/>
              </w:rPr>
              <w:t>6、所有查询功能均为实时数据。</w:t>
            </w:r>
          </w:p>
        </w:tc>
        <w:tc>
          <w:tcPr>
            <w:tcW w:w="470" w:type="dxa"/>
            <w:vAlign w:val="center"/>
          </w:tcPr>
          <w:p>
            <w:pPr>
              <w:jc w:val="center"/>
              <w:rPr>
                <w:rFonts w:ascii="宋体" w:hAnsi="宋体" w:cs="宋体"/>
                <w:spacing w:val="8"/>
                <w:highlight w:val="none"/>
              </w:rPr>
            </w:pPr>
            <w:r>
              <w:rPr>
                <w:rFonts w:hint="eastAsia" w:ascii="宋体" w:hAnsi="宋体" w:cs="宋体"/>
                <w:highlight w:val="none"/>
              </w:rPr>
              <w:t>1</w:t>
            </w:r>
          </w:p>
        </w:tc>
        <w:tc>
          <w:tcPr>
            <w:tcW w:w="454" w:type="dxa"/>
            <w:vAlign w:val="center"/>
          </w:tcPr>
          <w:p>
            <w:pPr>
              <w:jc w:val="center"/>
              <w:rPr>
                <w:rFonts w:ascii="宋体" w:hAnsi="宋体" w:cs="宋体"/>
                <w:spacing w:val="8"/>
                <w:highlight w:val="none"/>
              </w:rPr>
            </w:pPr>
            <w:r>
              <w:rPr>
                <w:rFonts w:hint="eastAsia" w:ascii="宋体" w:hAnsi="宋体" w:cs="宋体"/>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ascii="宋体" w:hAnsi="宋体" w:cs="宋体"/>
                <w:highlight w:val="none"/>
              </w:rPr>
            </w:pPr>
            <w:r>
              <w:rPr>
                <w:rFonts w:hint="eastAsia" w:ascii="宋体" w:hAnsi="宋体" w:cs="宋体"/>
                <w:highlight w:val="none"/>
              </w:rPr>
              <w:t>4</w:t>
            </w:r>
          </w:p>
        </w:tc>
        <w:tc>
          <w:tcPr>
            <w:tcW w:w="1351" w:type="dxa"/>
            <w:vAlign w:val="center"/>
          </w:tcPr>
          <w:p>
            <w:pPr>
              <w:spacing w:before="65" w:line="360" w:lineRule="auto"/>
              <w:rPr>
                <w:rFonts w:ascii="宋体" w:hAnsi="宋体" w:cs="宋体"/>
                <w:spacing w:val="8"/>
                <w:highlight w:val="none"/>
              </w:rPr>
            </w:pPr>
            <w:r>
              <w:rPr>
                <w:rFonts w:hint="eastAsia" w:ascii="宋体" w:hAnsi="宋体" w:cs="宋体"/>
                <w:highlight w:val="none"/>
              </w:rPr>
              <w:t>网上预约报账软件</w:t>
            </w:r>
          </w:p>
        </w:tc>
        <w:tc>
          <w:tcPr>
            <w:tcW w:w="6688" w:type="dxa"/>
            <w:vAlign w:val="center"/>
          </w:tcPr>
          <w:p>
            <w:pPr>
              <w:rPr>
                <w:rFonts w:ascii="宋体" w:hAnsi="宋体" w:cs="宋体"/>
                <w:highlight w:val="none"/>
              </w:rPr>
            </w:pPr>
            <w:r>
              <w:rPr>
                <w:rStyle w:val="17"/>
                <w:rFonts w:ascii="Arial" w:hAnsi="Arial" w:eastAsia="Arial" w:cs="Arial"/>
                <w:color w:val="333333"/>
                <w:szCs w:val="21"/>
                <w:highlight w:val="none"/>
                <w:shd w:val="clear" w:color="auto" w:fill="FFFFFF"/>
              </w:rPr>
              <w:t>★</w:t>
            </w:r>
            <w:r>
              <w:rPr>
                <w:rFonts w:hint="eastAsia" w:ascii="宋体" w:hAnsi="宋体" w:cs="宋体"/>
                <w:highlight w:val="none"/>
              </w:rPr>
              <w:t>必须采用本地化部署，不接受公有云部署。</w:t>
            </w:r>
          </w:p>
          <w:p>
            <w:pPr>
              <w:rPr>
                <w:rFonts w:ascii="宋体" w:hAnsi="宋体"/>
                <w:highlight w:val="none"/>
              </w:rPr>
            </w:pPr>
            <w:r>
              <w:rPr>
                <w:rFonts w:hint="eastAsia" w:ascii="宋体" w:hAnsi="宋体"/>
                <w:highlight w:val="none"/>
              </w:rPr>
              <w:t>一、主要功能</w:t>
            </w:r>
          </w:p>
          <w:p>
            <w:pPr>
              <w:rPr>
                <w:rFonts w:ascii="宋体" w:hAnsi="宋体"/>
                <w:highlight w:val="none"/>
              </w:rPr>
            </w:pPr>
            <w:r>
              <w:rPr>
                <w:rFonts w:hint="eastAsia" w:ascii="宋体" w:hAnsi="宋体"/>
                <w:highlight w:val="none"/>
              </w:rPr>
              <w:t>1、核算系统对接：可与现有财务管理系统无缝对接</w:t>
            </w:r>
          </w:p>
          <w:p>
            <w:pPr>
              <w:rPr>
                <w:rFonts w:ascii="宋体" w:hAnsi="宋体"/>
                <w:highlight w:val="none"/>
              </w:rPr>
            </w:pPr>
            <w:r>
              <w:rPr>
                <w:rFonts w:hint="eastAsia" w:ascii="宋体" w:hAnsi="宋体"/>
                <w:highlight w:val="none"/>
              </w:rPr>
              <w:t>2、日常报销业务：实现日常报销业务的网上报销功能</w:t>
            </w:r>
          </w:p>
          <w:p>
            <w:pPr>
              <w:rPr>
                <w:rFonts w:ascii="宋体" w:hAnsi="宋体"/>
                <w:highlight w:val="none"/>
              </w:rPr>
            </w:pPr>
            <w:r>
              <w:rPr>
                <w:rFonts w:hint="eastAsia" w:ascii="宋体" w:hAnsi="宋体"/>
                <w:highlight w:val="none"/>
              </w:rPr>
              <w:t>3、国内差旅费：实现国内差旅费业务的网上报销功能</w:t>
            </w:r>
          </w:p>
          <w:p>
            <w:pPr>
              <w:rPr>
                <w:rFonts w:ascii="宋体" w:hAnsi="宋体"/>
                <w:highlight w:val="none"/>
              </w:rPr>
            </w:pPr>
            <w:r>
              <w:rPr>
                <w:rFonts w:hint="eastAsia" w:ascii="宋体" w:hAnsi="宋体"/>
                <w:highlight w:val="none"/>
              </w:rPr>
              <w:t>4、借款业务：实现借款业务的网上报销功能</w:t>
            </w:r>
          </w:p>
          <w:p>
            <w:pPr>
              <w:rPr>
                <w:rFonts w:ascii="宋体" w:hAnsi="宋体"/>
                <w:highlight w:val="none"/>
              </w:rPr>
            </w:pPr>
            <w:r>
              <w:rPr>
                <w:rFonts w:hint="eastAsia" w:ascii="宋体" w:hAnsi="宋体"/>
                <w:highlight w:val="none"/>
              </w:rPr>
              <w:t>5、酬金申报：可与酬金申报业务相连，实现酬金申报业务实时冻结经费指标和自动生成财务凭证</w:t>
            </w:r>
          </w:p>
          <w:p>
            <w:pPr>
              <w:rPr>
                <w:rFonts w:ascii="宋体" w:hAnsi="宋体"/>
                <w:highlight w:val="none"/>
              </w:rPr>
            </w:pPr>
            <w:r>
              <w:rPr>
                <w:rFonts w:hint="eastAsia" w:ascii="宋体" w:hAnsi="宋体"/>
                <w:highlight w:val="none"/>
              </w:rPr>
              <w:t>6、经费冻结管理：实现网上申请通过的预约业务相关经费余额与实时冻结功能，保障实际报销中经费余额足够。</w:t>
            </w:r>
          </w:p>
          <w:p>
            <w:pPr>
              <w:rPr>
                <w:rFonts w:ascii="宋体" w:hAnsi="宋体"/>
                <w:highlight w:val="none"/>
              </w:rPr>
            </w:pPr>
            <w:r>
              <w:rPr>
                <w:rFonts w:hint="eastAsia" w:ascii="宋体" w:hAnsi="宋体"/>
                <w:highlight w:val="none"/>
              </w:rPr>
              <w:t>7、自动生成凭证：预约业务自动生成财务凭证，自动完成原冻结金额的解冻。</w:t>
            </w:r>
          </w:p>
          <w:p>
            <w:pPr>
              <w:rPr>
                <w:rFonts w:ascii="宋体" w:hAnsi="宋体"/>
                <w:highlight w:val="none"/>
              </w:rPr>
            </w:pPr>
            <w:r>
              <w:rPr>
                <w:rFonts w:hint="eastAsia" w:ascii="宋体" w:hAnsi="宋体" w:cs="宋体"/>
                <w:sz w:val="18"/>
                <w:szCs w:val="18"/>
                <w:highlight w:val="none"/>
              </w:rPr>
              <w:t>▲</w:t>
            </w:r>
            <w:r>
              <w:rPr>
                <w:rFonts w:hint="eastAsia" w:ascii="宋体" w:hAnsi="宋体"/>
                <w:highlight w:val="none"/>
              </w:rPr>
              <w:t>8、项目经费使用控制：保证项目经费安全使用。报账人在网上填写报销单时，只允许报支本人有权使用的项目经费，消除项目经费被他人非法盗用的隐患。</w:t>
            </w:r>
          </w:p>
          <w:p>
            <w:pPr>
              <w:rPr>
                <w:rFonts w:ascii="宋体" w:hAnsi="宋体"/>
                <w:highlight w:val="none"/>
              </w:rPr>
            </w:pPr>
            <w:r>
              <w:rPr>
                <w:rFonts w:hint="eastAsia" w:ascii="宋体" w:hAnsi="宋体"/>
                <w:highlight w:val="none"/>
              </w:rPr>
              <w:t>9、额度控制：严格控制费用额度。报账人在网上填写的报销金额严格控制在项目预算范围之内，避免产生网上可以填写而实际不能报销的尴尬问题。</w:t>
            </w:r>
          </w:p>
          <w:p>
            <w:pPr>
              <w:rPr>
                <w:rFonts w:ascii="宋体" w:hAnsi="宋体"/>
                <w:highlight w:val="none"/>
              </w:rPr>
            </w:pPr>
            <w:r>
              <w:rPr>
                <w:rFonts w:hint="eastAsia" w:ascii="宋体" w:hAnsi="宋体"/>
                <w:highlight w:val="none"/>
              </w:rPr>
              <w:t>10、与核算系统对接：与财务业务系统无缝对接，用户操作方便快捷。自动生成符合核算及管理要求的会计凭证，（网上填报的有关内容能自动生成会计凭证的有关内容，如会计分录、转款单位信息等）。</w:t>
            </w:r>
          </w:p>
          <w:p>
            <w:pPr>
              <w:rPr>
                <w:rFonts w:ascii="宋体" w:hAnsi="宋体"/>
                <w:highlight w:val="none"/>
              </w:rPr>
            </w:pPr>
            <w:r>
              <w:rPr>
                <w:rFonts w:hint="eastAsia" w:ascii="宋体" w:hAnsi="宋体"/>
                <w:highlight w:val="none"/>
              </w:rPr>
              <w:t>11、合并报账：支持多项目合并报销。例如：报账人需要使用多个项目合并支付出国费或设备购置，则可以在网上分别填写多个报销单，然后合并报销，财务系统自动生成一张财务凭证。</w:t>
            </w:r>
          </w:p>
          <w:p>
            <w:pPr>
              <w:rPr>
                <w:rFonts w:ascii="宋体" w:hAnsi="宋体"/>
                <w:highlight w:val="none"/>
              </w:rPr>
            </w:pPr>
            <w:r>
              <w:rPr>
                <w:rFonts w:hint="eastAsia" w:ascii="宋体" w:hAnsi="宋体"/>
                <w:highlight w:val="none"/>
              </w:rPr>
              <w:t>12、往来核销管理：支持往来账精确核销。报账人填写报销单时，如果报销项目存在未核销的往来账，系统将自动提示是否核销，报账人可以选定其中某笔或多笔进行核销，无需财务审核人员入账时手工指定。</w:t>
            </w:r>
          </w:p>
          <w:p>
            <w:pPr>
              <w:rPr>
                <w:rFonts w:ascii="宋体" w:hAnsi="宋体" w:cs="宋体"/>
                <w:spacing w:val="8"/>
                <w:highlight w:val="none"/>
              </w:rPr>
            </w:pPr>
            <w:r>
              <w:rPr>
                <w:rFonts w:hint="eastAsia" w:ascii="宋体" w:hAnsi="宋体"/>
                <w:highlight w:val="none"/>
              </w:rPr>
              <w:t>13、支付方式：支持多种支付方式并列发生。报账人可以同时填写多种支付方式，某种支付方式亦可多次填写。</w:t>
            </w:r>
          </w:p>
          <w:p>
            <w:pPr>
              <w:rPr>
                <w:rFonts w:ascii="宋体" w:hAnsi="宋体"/>
                <w:highlight w:val="none"/>
              </w:rPr>
            </w:pPr>
            <w:r>
              <w:rPr>
                <w:rFonts w:hint="eastAsia" w:ascii="宋体" w:hAnsi="宋体"/>
                <w:highlight w:val="none"/>
              </w:rPr>
              <w:t>二、明细功能</w:t>
            </w:r>
          </w:p>
          <w:p>
            <w:pPr>
              <w:rPr>
                <w:rFonts w:ascii="宋体" w:hAnsi="宋体"/>
                <w:highlight w:val="none"/>
              </w:rPr>
            </w:pPr>
            <w:r>
              <w:rPr>
                <w:rFonts w:hint="eastAsia" w:ascii="宋体" w:hAnsi="宋体"/>
                <w:highlight w:val="none"/>
              </w:rPr>
              <w:t>1、报销单管理：申请录入报销单功能，包括日常业务、国内差旅、酬金申报、借款等业务。填写所需费用项信息，支付方式信息，相关附件上传，提交审核流程，审核完成后打印带有审核日志的预约单，查看预约单明细，预约单物流信息等，同时可以修改预约单以及将不用报销的预约单撤销。</w:t>
            </w:r>
          </w:p>
          <w:p>
            <w:pPr>
              <w:rPr>
                <w:rFonts w:ascii="宋体" w:hAnsi="宋体"/>
                <w:highlight w:val="none"/>
              </w:rPr>
            </w:pPr>
            <w:r>
              <w:rPr>
                <w:rFonts w:hint="eastAsia" w:ascii="宋体" w:hAnsi="宋体"/>
                <w:highlight w:val="none"/>
              </w:rPr>
              <w:t>2、历史报销单：查询所有报销完成的预约单信息，查看报销单的明细信息，物流信息，打印预约单。可以根据预约开始日期、结束日期、项目号、报销单号、实际报销人报销金额以及备注模糊查询所需报销单信息。</w:t>
            </w:r>
          </w:p>
          <w:p>
            <w:pPr>
              <w:rPr>
                <w:rFonts w:ascii="宋体" w:hAnsi="宋体"/>
                <w:highlight w:val="none"/>
              </w:rPr>
            </w:pPr>
            <w:r>
              <w:rPr>
                <w:rFonts w:hint="eastAsia" w:ascii="宋体" w:hAnsi="宋体"/>
                <w:highlight w:val="none"/>
              </w:rPr>
              <w:t>3、报销单撤销日志：查询已经预约后无需报销的预约单日志信息，可以导出撤销的预约单的信息以及物流状态信息。</w:t>
            </w:r>
          </w:p>
          <w:p>
            <w:pPr>
              <w:rPr>
                <w:rFonts w:ascii="宋体" w:hAnsi="宋体"/>
                <w:highlight w:val="none"/>
              </w:rPr>
            </w:pPr>
            <w:r>
              <w:rPr>
                <w:rFonts w:hint="eastAsia" w:ascii="宋体" w:hAnsi="宋体"/>
                <w:highlight w:val="none"/>
              </w:rPr>
              <w:t>4、增值税发票查验：支持电子发票查询以及防重发票录入。其他发票支持填写纸质发票无需认证，做防重。包含1万张发票验真服务。</w:t>
            </w:r>
          </w:p>
          <w:p>
            <w:pPr>
              <w:rPr>
                <w:rFonts w:ascii="宋体" w:hAnsi="宋体"/>
                <w:highlight w:val="none"/>
              </w:rPr>
            </w:pPr>
            <w:r>
              <w:rPr>
                <w:rFonts w:hint="eastAsia" w:ascii="宋体" w:hAnsi="宋体"/>
                <w:highlight w:val="none"/>
              </w:rPr>
              <w:t>5、报销单查询：经办人查询自己报销的预约单、财务管理员查看所有报销单业务、打印预约单、查看报销单的审核日志以及查看明细。</w:t>
            </w:r>
          </w:p>
          <w:p>
            <w:pPr>
              <w:rPr>
                <w:rFonts w:ascii="宋体" w:hAnsi="宋体"/>
                <w:highlight w:val="none"/>
              </w:rPr>
            </w:pPr>
            <w:r>
              <w:rPr>
                <w:rFonts w:hint="eastAsia" w:ascii="宋体" w:hAnsi="宋体"/>
                <w:highlight w:val="none"/>
              </w:rPr>
              <w:t>6、待审批：根据学校报销制度设置的审核流程，预约单提交后会进入审核流程中，领导根据相应的流程审核预约单，查看预约单的项目，转卡，附件等详细明细信息以及审核日志进行审核通过或者拒绝。</w:t>
            </w:r>
          </w:p>
          <w:p>
            <w:pPr>
              <w:rPr>
                <w:rFonts w:ascii="宋体" w:hAnsi="宋体"/>
                <w:highlight w:val="none"/>
              </w:rPr>
            </w:pPr>
            <w:r>
              <w:rPr>
                <w:rFonts w:hint="eastAsia" w:ascii="宋体" w:hAnsi="宋体"/>
                <w:highlight w:val="none"/>
              </w:rPr>
              <w:t>7、已审批：查看所有已经审核过的预约单，查看报销明细，审核日志。</w:t>
            </w:r>
          </w:p>
          <w:p>
            <w:pPr>
              <w:rPr>
                <w:rFonts w:ascii="宋体" w:hAnsi="宋体"/>
                <w:highlight w:val="none"/>
              </w:rPr>
            </w:pPr>
            <w:r>
              <w:rPr>
                <w:rFonts w:hint="eastAsia" w:ascii="宋体" w:hAnsi="宋体"/>
                <w:highlight w:val="none"/>
              </w:rPr>
              <w:t>8、个人信息维护：维护个人信息，包括姓名手机号等。</w:t>
            </w:r>
          </w:p>
          <w:p>
            <w:pPr>
              <w:rPr>
                <w:rFonts w:ascii="宋体" w:hAnsi="宋体"/>
                <w:highlight w:val="none"/>
              </w:rPr>
            </w:pPr>
            <w:r>
              <w:rPr>
                <w:rFonts w:hint="eastAsia" w:ascii="宋体" w:hAnsi="宋体"/>
                <w:highlight w:val="none"/>
              </w:rPr>
              <w:t>9、常用支付信息维护：维护常用转卡汇款信息。</w:t>
            </w:r>
          </w:p>
          <w:p>
            <w:pPr>
              <w:rPr>
                <w:rFonts w:ascii="宋体" w:hAnsi="宋体" w:cs="宋体"/>
                <w:spacing w:val="8"/>
                <w:highlight w:val="none"/>
              </w:rPr>
            </w:pPr>
            <w:r>
              <w:rPr>
                <w:rFonts w:hint="eastAsia" w:ascii="宋体" w:hAnsi="宋体"/>
                <w:highlight w:val="none"/>
              </w:rPr>
              <w:t>10、校外人员信息维护：维护校外人员信息，用以发放校外的劳务。</w:t>
            </w:r>
          </w:p>
        </w:tc>
        <w:tc>
          <w:tcPr>
            <w:tcW w:w="470" w:type="dxa"/>
            <w:vAlign w:val="center"/>
          </w:tcPr>
          <w:p>
            <w:pPr>
              <w:jc w:val="center"/>
              <w:rPr>
                <w:rFonts w:ascii="宋体" w:hAnsi="宋体" w:cs="宋体"/>
                <w:spacing w:val="8"/>
                <w:highlight w:val="none"/>
              </w:rPr>
            </w:pPr>
            <w:r>
              <w:rPr>
                <w:rFonts w:hint="eastAsia" w:ascii="宋体" w:hAnsi="宋体" w:cs="宋体"/>
                <w:highlight w:val="none"/>
              </w:rPr>
              <w:t>1</w:t>
            </w:r>
          </w:p>
        </w:tc>
        <w:tc>
          <w:tcPr>
            <w:tcW w:w="454" w:type="dxa"/>
            <w:vAlign w:val="center"/>
          </w:tcPr>
          <w:p>
            <w:pPr>
              <w:jc w:val="center"/>
              <w:rPr>
                <w:rFonts w:ascii="宋体" w:hAnsi="宋体" w:cs="宋体"/>
                <w:spacing w:val="8"/>
                <w:highlight w:val="none"/>
              </w:rPr>
            </w:pPr>
            <w:r>
              <w:rPr>
                <w:rFonts w:hint="eastAsia" w:ascii="宋体" w:hAnsi="宋体" w:cs="宋体"/>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ascii="宋体" w:hAnsi="宋体" w:cs="宋体"/>
                <w:highlight w:val="none"/>
              </w:rPr>
            </w:pPr>
            <w:r>
              <w:rPr>
                <w:rFonts w:hint="eastAsia" w:ascii="宋体" w:hAnsi="宋体" w:cs="宋体"/>
                <w:highlight w:val="none"/>
              </w:rPr>
              <w:t>5</w:t>
            </w:r>
          </w:p>
        </w:tc>
        <w:tc>
          <w:tcPr>
            <w:tcW w:w="1351" w:type="dxa"/>
            <w:vAlign w:val="center"/>
          </w:tcPr>
          <w:p>
            <w:pPr>
              <w:spacing w:before="65" w:line="360" w:lineRule="auto"/>
              <w:rPr>
                <w:rFonts w:ascii="宋体" w:hAnsi="宋体" w:cs="宋体"/>
                <w:spacing w:val="8"/>
                <w:highlight w:val="none"/>
              </w:rPr>
            </w:pPr>
            <w:r>
              <w:rPr>
                <w:rFonts w:hint="eastAsia" w:ascii="宋体" w:hAnsi="宋体" w:cs="宋体"/>
                <w:spacing w:val="8"/>
                <w:highlight w:val="none"/>
              </w:rPr>
              <w:t>网上签批软件</w:t>
            </w:r>
          </w:p>
        </w:tc>
        <w:tc>
          <w:tcPr>
            <w:tcW w:w="6688" w:type="dxa"/>
            <w:vAlign w:val="center"/>
          </w:tcPr>
          <w:p>
            <w:pPr>
              <w:pStyle w:val="6"/>
              <w:spacing w:before="65"/>
              <w:rPr>
                <w:szCs w:val="21"/>
                <w:highlight w:val="none"/>
              </w:rPr>
            </w:pPr>
            <w:r>
              <w:rPr>
                <w:rStyle w:val="17"/>
                <w:rFonts w:ascii="Arial" w:hAnsi="Arial" w:eastAsia="Arial" w:cs="Arial"/>
                <w:color w:val="333333"/>
                <w:szCs w:val="21"/>
                <w:highlight w:val="none"/>
                <w:shd w:val="clear" w:color="auto" w:fill="FFFFFF"/>
              </w:rPr>
              <w:t>★</w:t>
            </w:r>
            <w:r>
              <w:rPr>
                <w:rFonts w:hint="eastAsia"/>
                <w:szCs w:val="21"/>
                <w:highlight w:val="none"/>
              </w:rPr>
              <w:t>必须采用本地化部署，不接受公有云部署。</w:t>
            </w:r>
          </w:p>
          <w:p>
            <w:pPr>
              <w:pStyle w:val="6"/>
              <w:spacing w:before="65"/>
              <w:rPr>
                <w:szCs w:val="21"/>
                <w:highlight w:val="none"/>
              </w:rPr>
            </w:pPr>
            <w:r>
              <w:rPr>
                <w:rFonts w:hint="eastAsia"/>
                <w:szCs w:val="21"/>
                <w:highlight w:val="none"/>
              </w:rPr>
              <w:t>1、智能报账软件对接：可与智能报账软件无缝对接，经办人提交预约报销后，自动推送至财务签批软件中。</w:t>
            </w:r>
          </w:p>
          <w:p>
            <w:pPr>
              <w:pStyle w:val="6"/>
              <w:spacing w:before="65"/>
              <w:rPr>
                <w:szCs w:val="21"/>
                <w:highlight w:val="none"/>
              </w:rPr>
            </w:pPr>
            <w:r>
              <w:rPr>
                <w:rFonts w:hint="eastAsia"/>
                <w:szCs w:val="21"/>
                <w:highlight w:val="none"/>
              </w:rPr>
              <w:t>2、审批流程：可根据学校现有日常报销业务的审批流程制定审批工作引擎。</w:t>
            </w:r>
          </w:p>
          <w:p>
            <w:pPr>
              <w:pStyle w:val="6"/>
              <w:spacing w:before="65"/>
              <w:rPr>
                <w:szCs w:val="21"/>
                <w:highlight w:val="none"/>
              </w:rPr>
            </w:pPr>
            <w:r>
              <w:rPr>
                <w:rFonts w:hint="eastAsia"/>
                <w:szCs w:val="21"/>
                <w:highlight w:val="none"/>
              </w:rPr>
              <w:t>3、审批流程：可根据学校现有差旅费报销业务的审批流程制定审批工作引擎。</w:t>
            </w:r>
          </w:p>
          <w:p>
            <w:pPr>
              <w:pStyle w:val="6"/>
              <w:spacing w:before="65"/>
              <w:rPr>
                <w:szCs w:val="21"/>
                <w:highlight w:val="none"/>
              </w:rPr>
            </w:pPr>
            <w:r>
              <w:rPr>
                <w:rFonts w:hint="eastAsia"/>
                <w:szCs w:val="21"/>
                <w:highlight w:val="none"/>
              </w:rPr>
              <w:t>4、审批流程：可根据学校现有借款业务的审批流程制定审批工作引擎。</w:t>
            </w:r>
          </w:p>
          <w:p>
            <w:pPr>
              <w:pStyle w:val="6"/>
              <w:spacing w:before="65"/>
              <w:rPr>
                <w:highlight w:val="none"/>
              </w:rPr>
            </w:pPr>
            <w:r>
              <w:rPr>
                <w:rFonts w:hint="eastAsia"/>
                <w:szCs w:val="21"/>
                <w:highlight w:val="none"/>
              </w:rPr>
              <w:t>5、审批流程：可根据学校现有酬金报销业务的审批流程制定审批工作引擎。</w:t>
            </w:r>
          </w:p>
          <w:p>
            <w:pPr>
              <w:pStyle w:val="6"/>
              <w:spacing w:before="65"/>
              <w:rPr>
                <w:szCs w:val="21"/>
                <w:highlight w:val="none"/>
              </w:rPr>
            </w:pPr>
            <w:r>
              <w:rPr>
                <w:rFonts w:hint="eastAsia"/>
                <w:szCs w:val="21"/>
                <w:highlight w:val="none"/>
              </w:rPr>
              <w:t>6、特殊事项：可根据学校具体情况增加特殊加签事项。</w:t>
            </w:r>
          </w:p>
          <w:p>
            <w:pPr>
              <w:pStyle w:val="6"/>
              <w:spacing w:before="65"/>
              <w:rPr>
                <w:szCs w:val="21"/>
                <w:highlight w:val="none"/>
              </w:rPr>
            </w:pPr>
            <w:r>
              <w:rPr>
                <w:rFonts w:hint="eastAsia"/>
                <w:szCs w:val="21"/>
                <w:highlight w:val="none"/>
              </w:rPr>
              <w:t>7、审批方式：满足领导在PC端进行财务报销审批的需求。</w:t>
            </w:r>
          </w:p>
          <w:p>
            <w:pPr>
              <w:pStyle w:val="6"/>
              <w:spacing w:before="65"/>
              <w:rPr>
                <w:szCs w:val="21"/>
                <w:highlight w:val="none"/>
              </w:rPr>
            </w:pPr>
            <w:r>
              <w:rPr>
                <w:rFonts w:hint="eastAsia"/>
                <w:szCs w:val="21"/>
                <w:highlight w:val="none"/>
              </w:rPr>
              <w:t>8、审批意见：审批人可在审批同时注明审批意见。</w:t>
            </w:r>
          </w:p>
          <w:p>
            <w:pPr>
              <w:pStyle w:val="6"/>
              <w:spacing w:before="65"/>
              <w:rPr>
                <w:szCs w:val="21"/>
                <w:highlight w:val="none"/>
              </w:rPr>
            </w:pPr>
            <w:r>
              <w:rPr>
                <w:rFonts w:hint="eastAsia"/>
                <w:szCs w:val="21"/>
                <w:highlight w:val="none"/>
              </w:rPr>
              <w:t>9、审批查询：经办人或者审批人可在网上签批软件中随时查询审批进度等信息。</w:t>
            </w:r>
          </w:p>
        </w:tc>
        <w:tc>
          <w:tcPr>
            <w:tcW w:w="470" w:type="dxa"/>
            <w:vAlign w:val="center"/>
          </w:tcPr>
          <w:p>
            <w:pPr>
              <w:jc w:val="center"/>
              <w:rPr>
                <w:rFonts w:ascii="宋体" w:hAnsi="宋体" w:cs="宋体"/>
                <w:spacing w:val="8"/>
                <w:highlight w:val="none"/>
              </w:rPr>
            </w:pPr>
            <w:r>
              <w:rPr>
                <w:rFonts w:hint="eastAsia" w:ascii="宋体" w:hAnsi="宋体" w:cs="宋体"/>
                <w:highlight w:val="none"/>
              </w:rPr>
              <w:t>1</w:t>
            </w:r>
          </w:p>
        </w:tc>
        <w:tc>
          <w:tcPr>
            <w:tcW w:w="454" w:type="dxa"/>
            <w:vAlign w:val="center"/>
          </w:tcPr>
          <w:p>
            <w:pPr>
              <w:jc w:val="center"/>
              <w:rPr>
                <w:rFonts w:ascii="宋体" w:hAnsi="宋体" w:cs="宋体"/>
                <w:spacing w:val="8"/>
                <w:highlight w:val="none"/>
              </w:rPr>
            </w:pPr>
            <w:r>
              <w:rPr>
                <w:rFonts w:hint="eastAsia" w:ascii="宋体" w:hAnsi="宋体" w:cs="宋体"/>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ascii="宋体" w:hAnsi="宋体" w:cs="宋体"/>
                <w:highlight w:val="none"/>
              </w:rPr>
            </w:pPr>
            <w:r>
              <w:rPr>
                <w:rFonts w:hint="eastAsia" w:ascii="宋体" w:hAnsi="宋体" w:cs="宋体"/>
                <w:highlight w:val="none"/>
              </w:rPr>
              <w:t>6</w:t>
            </w:r>
          </w:p>
        </w:tc>
        <w:tc>
          <w:tcPr>
            <w:tcW w:w="1351" w:type="dxa"/>
            <w:vAlign w:val="center"/>
          </w:tcPr>
          <w:p>
            <w:pPr>
              <w:spacing w:before="65" w:line="360" w:lineRule="auto"/>
              <w:rPr>
                <w:rFonts w:ascii="宋体" w:hAnsi="宋体" w:cs="宋体"/>
                <w:spacing w:val="8"/>
                <w:highlight w:val="none"/>
              </w:rPr>
            </w:pPr>
            <w:r>
              <w:rPr>
                <w:rFonts w:hint="eastAsia" w:ascii="宋体" w:hAnsi="宋体" w:cs="宋体"/>
                <w:spacing w:val="8"/>
                <w:highlight w:val="none"/>
              </w:rPr>
              <w:t>服务器</w:t>
            </w:r>
          </w:p>
        </w:tc>
        <w:tc>
          <w:tcPr>
            <w:tcW w:w="6688" w:type="dxa"/>
            <w:vAlign w:val="center"/>
          </w:tcPr>
          <w:p>
            <w:pPr>
              <w:pStyle w:val="6"/>
              <w:spacing w:before="65"/>
              <w:rPr>
                <w:szCs w:val="21"/>
                <w:highlight w:val="none"/>
              </w:rPr>
            </w:pPr>
            <w:r>
              <w:rPr>
                <w:rFonts w:hint="eastAsia"/>
                <w:szCs w:val="21"/>
                <w:highlight w:val="none"/>
              </w:rPr>
              <w:t>4214*1、32G*1、XR450C MX 2G RAID卡、900W*2电、480G*3 SATA固态硬盘</w:t>
            </w:r>
          </w:p>
        </w:tc>
        <w:tc>
          <w:tcPr>
            <w:tcW w:w="470" w:type="dxa"/>
            <w:vAlign w:val="center"/>
          </w:tcPr>
          <w:p>
            <w:pPr>
              <w:jc w:val="center"/>
              <w:rPr>
                <w:rFonts w:ascii="宋体" w:hAnsi="宋体" w:cs="宋体"/>
                <w:highlight w:val="none"/>
              </w:rPr>
            </w:pPr>
            <w:r>
              <w:rPr>
                <w:rFonts w:hint="eastAsia" w:ascii="宋体" w:hAnsi="宋体" w:cs="宋体"/>
                <w:highlight w:val="none"/>
              </w:rPr>
              <w:t>2</w:t>
            </w:r>
          </w:p>
        </w:tc>
        <w:tc>
          <w:tcPr>
            <w:tcW w:w="454" w:type="dxa"/>
            <w:vAlign w:val="center"/>
          </w:tcPr>
          <w:p>
            <w:pPr>
              <w:jc w:val="center"/>
              <w:rPr>
                <w:rFonts w:ascii="宋体" w:hAnsi="宋体" w:cs="宋体"/>
                <w:highlight w:val="none"/>
              </w:rPr>
            </w:pPr>
            <w:r>
              <w:rPr>
                <w:rFonts w:hint="eastAsia" w:ascii="宋体" w:hAnsi="宋体" w:cs="宋体"/>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ascii="宋体" w:hAnsi="宋体" w:cs="宋体"/>
                <w:highlight w:val="none"/>
              </w:rPr>
            </w:pPr>
            <w:r>
              <w:rPr>
                <w:rFonts w:hint="eastAsia" w:ascii="宋体" w:hAnsi="宋体" w:cs="宋体"/>
                <w:highlight w:val="none"/>
              </w:rPr>
              <w:t>7</w:t>
            </w:r>
          </w:p>
        </w:tc>
        <w:tc>
          <w:tcPr>
            <w:tcW w:w="1351" w:type="dxa"/>
            <w:vAlign w:val="center"/>
          </w:tcPr>
          <w:p>
            <w:pPr>
              <w:spacing w:before="65" w:line="360" w:lineRule="auto"/>
              <w:rPr>
                <w:rFonts w:ascii="宋体" w:hAnsi="宋体" w:cs="宋体"/>
                <w:spacing w:val="8"/>
                <w:highlight w:val="none"/>
              </w:rPr>
            </w:pPr>
            <w:r>
              <w:rPr>
                <w:rFonts w:hint="eastAsia" w:ascii="宋体" w:hAnsi="宋体" w:cs="宋体"/>
                <w:spacing w:val="8"/>
                <w:highlight w:val="none"/>
              </w:rPr>
              <w:t>防火墙</w:t>
            </w:r>
          </w:p>
        </w:tc>
        <w:tc>
          <w:tcPr>
            <w:tcW w:w="6688" w:type="dxa"/>
            <w:vAlign w:val="center"/>
          </w:tcPr>
          <w:p>
            <w:pPr>
              <w:pStyle w:val="6"/>
              <w:spacing w:before="65"/>
              <w:rPr>
                <w:szCs w:val="21"/>
                <w:highlight w:val="none"/>
              </w:rPr>
            </w:pPr>
            <w:r>
              <w:rPr>
                <w:rFonts w:hint="eastAsia"/>
                <w:szCs w:val="21"/>
                <w:highlight w:val="none"/>
              </w:rPr>
              <w:t>企业级千兆防火墙 上网行为管理 USG6311E-AC 桌面式 ，防火墙吞吐量1.5Gbps，SSL VPN并发用户数50-100（默认不含光模块）</w:t>
            </w:r>
          </w:p>
        </w:tc>
        <w:tc>
          <w:tcPr>
            <w:tcW w:w="470" w:type="dxa"/>
            <w:vAlign w:val="center"/>
          </w:tcPr>
          <w:p>
            <w:pPr>
              <w:jc w:val="center"/>
              <w:rPr>
                <w:rFonts w:ascii="宋体" w:hAnsi="宋体" w:cs="宋体"/>
                <w:highlight w:val="none"/>
              </w:rPr>
            </w:pPr>
            <w:r>
              <w:rPr>
                <w:rFonts w:hint="eastAsia" w:ascii="宋体" w:hAnsi="宋体" w:cs="宋体"/>
                <w:highlight w:val="none"/>
              </w:rPr>
              <w:t>1</w:t>
            </w:r>
          </w:p>
        </w:tc>
        <w:tc>
          <w:tcPr>
            <w:tcW w:w="454" w:type="dxa"/>
            <w:vAlign w:val="center"/>
          </w:tcPr>
          <w:p>
            <w:pPr>
              <w:jc w:val="center"/>
              <w:rPr>
                <w:rFonts w:ascii="宋体" w:hAnsi="宋体" w:cs="宋体"/>
                <w:highlight w:val="none"/>
              </w:rPr>
            </w:pPr>
            <w:r>
              <w:rPr>
                <w:rFonts w:hint="eastAsia" w:ascii="宋体" w:hAnsi="宋体" w:cs="宋体"/>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ascii="宋体" w:hAnsi="宋体" w:cs="宋体"/>
                <w:highlight w:val="none"/>
              </w:rPr>
            </w:pPr>
            <w:r>
              <w:rPr>
                <w:rFonts w:hint="eastAsia" w:ascii="宋体" w:hAnsi="宋体" w:cs="宋体"/>
                <w:highlight w:val="none"/>
              </w:rPr>
              <w:t>8</w:t>
            </w:r>
          </w:p>
        </w:tc>
        <w:tc>
          <w:tcPr>
            <w:tcW w:w="1351" w:type="dxa"/>
            <w:vAlign w:val="center"/>
          </w:tcPr>
          <w:p>
            <w:pPr>
              <w:spacing w:before="65" w:line="360" w:lineRule="auto"/>
              <w:rPr>
                <w:rFonts w:ascii="宋体" w:hAnsi="宋体" w:cs="宋体"/>
                <w:spacing w:val="8"/>
                <w:highlight w:val="none"/>
              </w:rPr>
            </w:pPr>
            <w:r>
              <w:rPr>
                <w:rFonts w:hint="eastAsia" w:ascii="宋体" w:hAnsi="宋体" w:cs="宋体"/>
                <w:spacing w:val="8"/>
                <w:highlight w:val="none"/>
              </w:rPr>
              <w:t>机柜</w:t>
            </w:r>
          </w:p>
        </w:tc>
        <w:tc>
          <w:tcPr>
            <w:tcW w:w="6688" w:type="dxa"/>
            <w:vAlign w:val="center"/>
          </w:tcPr>
          <w:p>
            <w:pPr>
              <w:pStyle w:val="6"/>
              <w:spacing w:before="65"/>
              <w:rPr>
                <w:szCs w:val="21"/>
                <w:highlight w:val="none"/>
              </w:rPr>
            </w:pPr>
            <w:r>
              <w:rPr>
                <w:rFonts w:hint="eastAsia"/>
                <w:szCs w:val="21"/>
                <w:highlight w:val="none"/>
              </w:rPr>
              <w:t>容量42U、机柜高度2050mm、宽度600mm、深度1200mm</w:t>
            </w:r>
          </w:p>
        </w:tc>
        <w:tc>
          <w:tcPr>
            <w:tcW w:w="470" w:type="dxa"/>
            <w:vAlign w:val="center"/>
          </w:tcPr>
          <w:p>
            <w:pPr>
              <w:jc w:val="center"/>
              <w:rPr>
                <w:rFonts w:ascii="宋体" w:hAnsi="宋体" w:cs="宋体"/>
                <w:highlight w:val="none"/>
              </w:rPr>
            </w:pPr>
            <w:r>
              <w:rPr>
                <w:rFonts w:hint="eastAsia" w:ascii="宋体" w:hAnsi="宋体" w:cs="宋体"/>
                <w:highlight w:val="none"/>
              </w:rPr>
              <w:t>1</w:t>
            </w:r>
          </w:p>
        </w:tc>
        <w:tc>
          <w:tcPr>
            <w:tcW w:w="454" w:type="dxa"/>
            <w:vAlign w:val="center"/>
          </w:tcPr>
          <w:p>
            <w:pPr>
              <w:jc w:val="center"/>
              <w:rPr>
                <w:rFonts w:ascii="宋体" w:hAnsi="宋体" w:cs="宋体"/>
                <w:highlight w:val="none"/>
              </w:rPr>
            </w:pPr>
            <w:r>
              <w:rPr>
                <w:rFonts w:hint="eastAsia" w:ascii="宋体" w:hAnsi="宋体" w:cs="宋体"/>
                <w:highlight w:val="none"/>
              </w:rPr>
              <w:t>台</w:t>
            </w:r>
          </w:p>
        </w:tc>
      </w:tr>
    </w:tbl>
    <w:p>
      <w:pPr>
        <w:pStyle w:val="6"/>
        <w:rPr>
          <w:highlight w:val="none"/>
        </w:rPr>
      </w:pPr>
    </w:p>
    <w:p>
      <w:pPr>
        <w:pStyle w:val="3"/>
        <w:spacing w:line="360" w:lineRule="auto"/>
        <w:rPr>
          <w:rFonts w:ascii="宋体" w:hAnsi="宋体" w:cs="宋体"/>
          <w:sz w:val="28"/>
          <w:szCs w:val="28"/>
          <w:highlight w:val="none"/>
        </w:rPr>
      </w:pPr>
      <w:r>
        <w:rPr>
          <w:rFonts w:hint="eastAsia" w:ascii="宋体" w:hAnsi="宋体" w:cs="宋体"/>
          <w:sz w:val="28"/>
          <w:szCs w:val="28"/>
          <w:highlight w:val="none"/>
        </w:rPr>
        <w:t>（三）其他要求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1、为了保证招标顺利进行，请各投标人在制作投标响应文件之前，仔细阅读本招标文件的各项条款，并自行到实地考察（费用自理），按要求制作和递交投标文件。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2、工期要求：合同签订之日起 20个工作日内完成。</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3、质保期限：自本项目验收合格日起免费质保期为一年。免费质保期满后，每年软件维保费不超过软件合同价的10%。</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4、付款方式：付款方式按照合同约定执行。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5、售后服务及其他（含安装、调试、培训、维护等）：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（1）投标人具有良好的信誉，售后服务及时到位。</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（2）供方免费送货上门、安装调试、人员培训。</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（3）供应商应具备完善售后服务体系，在有固定的维护人员并有能力及时处理所有可能发生的故障。</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（4）售后响应速度为12小时内登门服务。24小时内修复，24小时不能修复的须免费提供备用设备至修复。提供培训及售后服务计划方案。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（5）超出保修期后，仍需提供维护服务，并承诺只收取成本费。</w:t>
      </w:r>
    </w:p>
    <w:p>
      <w:pPr>
        <w:spacing w:line="360" w:lineRule="auto"/>
        <w:ind w:firstLine="480" w:firstLineChars="200"/>
        <w:rPr>
          <w:rFonts w:ascii="宋体" w:hAnsi="宋体" w:cs="宋体"/>
          <w:highlight w:val="none"/>
        </w:rPr>
      </w:pPr>
      <w:r>
        <w:rPr>
          <w:rFonts w:hint="eastAsia" w:ascii="宋体" w:hAnsi="宋体" w:cs="宋体"/>
          <w:sz w:val="24"/>
          <w:highlight w:val="none"/>
        </w:rPr>
        <w:t>6、非单一产品采购项目，本项目核心产品为：财务管理软件、网上预约报账软件。</w:t>
      </w:r>
    </w:p>
    <w:p>
      <w:pPr>
        <w:pStyle w:val="13"/>
        <w:ind w:left="0" w:leftChars="0" w:firstLine="0" w:firstLineChars="0"/>
        <w:jc w:val="center"/>
        <w:rPr>
          <w:rFonts w:ascii="宋体" w:hAnsi="宋体" w:cs="宋体"/>
          <w:b/>
          <w:w w:val="80"/>
          <w:kern w:val="44"/>
          <w:sz w:val="44"/>
          <w:szCs w:val="44"/>
          <w:highlight w:val="none"/>
        </w:rPr>
      </w:pPr>
    </w:p>
    <w:bookmarkEnd w:id="2"/>
    <w:bookmarkEnd w:id="3"/>
    <w:p>
      <w:pPr>
        <w:snapToGrid/>
        <w:spacing w:line="240" w:lineRule="auto"/>
        <w:jc w:val="both"/>
        <w:outlineLvl w:val="9"/>
        <w:rPr>
          <w:rFonts w:ascii="Times New Roman"/>
          <w:b/>
          <w:sz w:val="36"/>
          <w:szCs w:val="36"/>
          <w:highlight w:val="none"/>
        </w:rPr>
      </w:pPr>
      <w:r>
        <w:rPr>
          <w:rFonts w:ascii="Times New Roman"/>
          <w:b/>
          <w:sz w:val="36"/>
          <w:szCs w:val="36"/>
          <w:highlight w:val="none"/>
        </w:rPr>
        <w:br w:type="page"/>
      </w:r>
    </w:p>
    <w:p>
      <w:pPr>
        <w:snapToGrid w:val="0"/>
        <w:spacing w:line="300" w:lineRule="auto"/>
        <w:jc w:val="center"/>
        <w:outlineLvl w:val="0"/>
        <w:rPr>
          <w:rFonts w:ascii="Times New Roman"/>
          <w:b/>
          <w:sz w:val="36"/>
          <w:szCs w:val="36"/>
          <w:highlight w:val="none"/>
        </w:rPr>
      </w:pPr>
      <w:r>
        <w:rPr>
          <w:rFonts w:ascii="Times New Roman"/>
          <w:b/>
          <w:sz w:val="36"/>
          <w:szCs w:val="36"/>
          <w:highlight w:val="none"/>
        </w:rPr>
        <w:t>第四部分  开标和评标</w:t>
      </w:r>
    </w:p>
    <w:p>
      <w:pPr>
        <w:tabs>
          <w:tab w:val="left" w:pos="3585"/>
        </w:tabs>
        <w:snapToGrid w:val="0"/>
        <w:spacing w:line="480" w:lineRule="exact"/>
        <w:ind w:firstLine="463" w:firstLineChars="192"/>
        <w:rPr>
          <w:rFonts w:ascii="Times New Roman"/>
          <w:b/>
          <w:highlight w:val="none"/>
        </w:rPr>
      </w:pPr>
      <w:r>
        <w:rPr>
          <w:rFonts w:ascii="Times New Roman"/>
          <w:b/>
          <w:bCs/>
          <w:highlight w:val="none"/>
        </w:rPr>
        <w:t>一、</w:t>
      </w:r>
      <w:r>
        <w:rPr>
          <w:rFonts w:ascii="Times New Roman"/>
          <w:b/>
          <w:highlight w:val="none"/>
        </w:rPr>
        <w:t>采购人委托代理机构组织开标</w:t>
      </w:r>
    </w:p>
    <w:p>
      <w:pPr>
        <w:tabs>
          <w:tab w:val="left" w:pos="3585"/>
        </w:tabs>
        <w:snapToGrid w:val="0"/>
        <w:spacing w:line="480" w:lineRule="exact"/>
        <w:ind w:firstLine="460" w:firstLineChars="192"/>
        <w:rPr>
          <w:rFonts w:ascii="Times New Roman"/>
          <w:highlight w:val="none"/>
        </w:rPr>
      </w:pPr>
      <w:r>
        <w:rPr>
          <w:rFonts w:ascii="Times New Roman"/>
          <w:highlight w:val="none"/>
          <w:lang w:val="zh-CN"/>
        </w:rPr>
        <w:t>投标人须持有效身份</w:t>
      </w:r>
      <w:r>
        <w:rPr>
          <w:rFonts w:ascii="Times New Roman"/>
          <w:highlight w:val="none"/>
        </w:rPr>
        <w:t>证明</w:t>
      </w:r>
      <w:r>
        <w:rPr>
          <w:rFonts w:ascii="Times New Roman"/>
          <w:highlight w:val="none"/>
          <w:lang w:val="zh-CN"/>
        </w:rPr>
        <w:t>参加开标会。</w:t>
      </w:r>
    </w:p>
    <w:p>
      <w:pPr>
        <w:numPr>
          <w:ilvl w:val="0"/>
          <w:numId w:val="2"/>
        </w:numPr>
        <w:snapToGrid w:val="0"/>
        <w:spacing w:line="480" w:lineRule="exact"/>
        <w:ind w:firstLine="570"/>
        <w:rPr>
          <w:rFonts w:ascii="Times New Roman"/>
          <w:b/>
          <w:bCs/>
          <w:highlight w:val="none"/>
        </w:rPr>
      </w:pPr>
      <w:r>
        <w:rPr>
          <w:rFonts w:ascii="Times New Roman"/>
          <w:b/>
          <w:bCs/>
          <w:highlight w:val="none"/>
        </w:rPr>
        <w:t>评委会由有关专家和</w:t>
      </w:r>
      <w:r>
        <w:rPr>
          <w:rFonts w:ascii="Times New Roman"/>
          <w:b/>
          <w:highlight w:val="none"/>
        </w:rPr>
        <w:t>采购人代表</w:t>
      </w:r>
      <w:r>
        <w:rPr>
          <w:rFonts w:ascii="Times New Roman"/>
          <w:b/>
          <w:bCs/>
          <w:highlight w:val="none"/>
        </w:rPr>
        <w:t>组成</w:t>
      </w:r>
      <w:r>
        <w:rPr>
          <w:rFonts w:ascii="Times New Roman"/>
          <w:b/>
          <w:highlight w:val="none"/>
        </w:rPr>
        <w:t>，按照</w:t>
      </w:r>
      <w:r>
        <w:rPr>
          <w:rFonts w:ascii="Times New Roman"/>
          <w:b/>
          <w:bCs/>
          <w:highlight w:val="none"/>
        </w:rPr>
        <w:t>公平、公正、择优的原则进行</w:t>
      </w:r>
      <w:r>
        <w:rPr>
          <w:rFonts w:ascii="Times New Roman"/>
          <w:b/>
          <w:highlight w:val="none"/>
        </w:rPr>
        <w:t>独立</w:t>
      </w:r>
      <w:r>
        <w:rPr>
          <w:rFonts w:ascii="Times New Roman"/>
          <w:b/>
          <w:bCs/>
          <w:highlight w:val="none"/>
        </w:rPr>
        <w:t>评标。</w:t>
      </w:r>
    </w:p>
    <w:p>
      <w:pPr>
        <w:snapToGrid w:val="0"/>
        <w:spacing w:line="480" w:lineRule="exact"/>
        <w:ind w:firstLine="480" w:firstLineChars="200"/>
        <w:rPr>
          <w:rFonts w:ascii="Times New Roman"/>
          <w:b/>
          <w:bCs/>
          <w:highlight w:val="none"/>
        </w:rPr>
      </w:pPr>
      <w:r>
        <w:rPr>
          <w:rFonts w:hint="eastAsia"/>
          <w:bCs/>
          <w:highlight w:val="none"/>
        </w:rPr>
        <w:t>评委会由采购人代表和评审专家共计5人组成。</w:t>
      </w:r>
      <w:r>
        <w:rPr>
          <w:rFonts w:ascii="Times New Roman"/>
          <w:bCs/>
          <w:highlight w:val="none"/>
        </w:rPr>
        <w:t>评审专家在专家库中随机抽取。</w:t>
      </w:r>
    </w:p>
    <w:p>
      <w:pPr>
        <w:snapToGrid w:val="0"/>
        <w:spacing w:line="480" w:lineRule="exact"/>
        <w:ind w:firstLine="570"/>
        <w:rPr>
          <w:rFonts w:ascii="Times New Roman"/>
          <w:b/>
          <w:bCs/>
          <w:highlight w:val="none"/>
        </w:rPr>
      </w:pPr>
      <w:r>
        <w:rPr>
          <w:rFonts w:ascii="Times New Roman"/>
          <w:b/>
          <w:bCs/>
          <w:highlight w:val="none"/>
        </w:rPr>
        <w:t>（一）评审内容</w:t>
      </w:r>
    </w:p>
    <w:p>
      <w:pPr>
        <w:snapToGrid w:val="0"/>
        <w:spacing w:line="480" w:lineRule="exact"/>
        <w:ind w:firstLine="480" w:firstLineChars="200"/>
        <w:jc w:val="left"/>
        <w:rPr>
          <w:rFonts w:ascii="Times New Roman"/>
          <w:bCs/>
          <w:highlight w:val="none"/>
        </w:rPr>
      </w:pPr>
      <w:r>
        <w:rPr>
          <w:rFonts w:ascii="Times New Roman"/>
          <w:bCs/>
          <w:highlight w:val="none"/>
        </w:rPr>
        <w:t>1、是否递交投标文件；</w:t>
      </w:r>
    </w:p>
    <w:p>
      <w:pPr>
        <w:snapToGrid w:val="0"/>
        <w:spacing w:line="480" w:lineRule="exact"/>
        <w:ind w:firstLine="480" w:firstLineChars="200"/>
        <w:jc w:val="left"/>
        <w:rPr>
          <w:rFonts w:ascii="Times New Roman"/>
          <w:bCs/>
          <w:highlight w:val="none"/>
        </w:rPr>
      </w:pPr>
      <w:r>
        <w:rPr>
          <w:rFonts w:ascii="Times New Roman"/>
          <w:bCs/>
          <w:highlight w:val="none"/>
        </w:rPr>
        <w:t>2、投标资格是否符合（由</w:t>
      </w:r>
      <w:r>
        <w:rPr>
          <w:rFonts w:ascii="Times New Roman"/>
          <w:highlight w:val="none"/>
        </w:rPr>
        <w:t>采购人</w:t>
      </w:r>
      <w:r>
        <w:rPr>
          <w:rFonts w:ascii="Times New Roman"/>
          <w:bCs/>
          <w:highlight w:val="none"/>
        </w:rPr>
        <w:t>审查）；</w:t>
      </w:r>
    </w:p>
    <w:p>
      <w:pPr>
        <w:snapToGrid w:val="0"/>
        <w:spacing w:line="480" w:lineRule="exact"/>
        <w:ind w:firstLine="480" w:firstLineChars="200"/>
        <w:jc w:val="left"/>
        <w:rPr>
          <w:rFonts w:ascii="Times New Roman"/>
          <w:highlight w:val="none"/>
        </w:rPr>
      </w:pPr>
      <w:r>
        <w:rPr>
          <w:rFonts w:ascii="Times New Roman"/>
          <w:highlight w:val="none"/>
        </w:rPr>
        <w:t>3、投标文件是否完整；</w:t>
      </w:r>
    </w:p>
    <w:p>
      <w:pPr>
        <w:snapToGrid w:val="0"/>
        <w:spacing w:line="480" w:lineRule="exact"/>
        <w:ind w:firstLine="480" w:firstLineChars="200"/>
        <w:jc w:val="left"/>
        <w:rPr>
          <w:rFonts w:ascii="Times New Roman"/>
          <w:highlight w:val="none"/>
        </w:rPr>
      </w:pPr>
      <w:r>
        <w:rPr>
          <w:rFonts w:ascii="Times New Roman"/>
          <w:highlight w:val="none"/>
        </w:rPr>
        <w:t>4、投标文件是否恰当地签署；</w:t>
      </w:r>
    </w:p>
    <w:p>
      <w:pPr>
        <w:snapToGrid w:val="0"/>
        <w:spacing w:line="480" w:lineRule="exact"/>
        <w:ind w:firstLine="480" w:firstLineChars="200"/>
        <w:jc w:val="left"/>
        <w:rPr>
          <w:rFonts w:ascii="Times New Roman"/>
          <w:highlight w:val="none"/>
        </w:rPr>
      </w:pPr>
      <w:r>
        <w:rPr>
          <w:rFonts w:ascii="Times New Roman"/>
          <w:highlight w:val="none"/>
        </w:rPr>
        <w:t>5、是否作出实质性响应（是否有实质性响应，只根据投标文件本身，而不寻求外部证据）；</w:t>
      </w:r>
    </w:p>
    <w:p>
      <w:pPr>
        <w:snapToGrid w:val="0"/>
        <w:spacing w:line="480" w:lineRule="exact"/>
        <w:ind w:firstLine="480" w:firstLineChars="200"/>
        <w:jc w:val="left"/>
        <w:rPr>
          <w:rFonts w:ascii="Times New Roman"/>
          <w:highlight w:val="none"/>
        </w:rPr>
      </w:pPr>
      <w:r>
        <w:rPr>
          <w:rFonts w:ascii="Times New Roman"/>
          <w:highlight w:val="none"/>
        </w:rPr>
        <w:t>6、是否有计算错误。</w:t>
      </w:r>
    </w:p>
    <w:p>
      <w:pPr>
        <w:snapToGrid w:val="0"/>
        <w:spacing w:line="480" w:lineRule="exact"/>
        <w:ind w:firstLine="482" w:firstLineChars="200"/>
        <w:rPr>
          <w:rFonts w:ascii="Times New Roman"/>
          <w:b/>
          <w:bCs/>
          <w:highlight w:val="none"/>
        </w:rPr>
      </w:pPr>
      <w:r>
        <w:rPr>
          <w:rFonts w:ascii="Times New Roman"/>
          <w:b/>
          <w:bCs/>
          <w:highlight w:val="none"/>
        </w:rPr>
        <w:t>（二）相应的规定</w:t>
      </w:r>
    </w:p>
    <w:p>
      <w:pPr>
        <w:snapToGrid w:val="0"/>
        <w:spacing w:line="480" w:lineRule="exact"/>
        <w:ind w:firstLine="480" w:firstLineChars="200"/>
        <w:rPr>
          <w:rFonts w:ascii="Times New Roman"/>
          <w:highlight w:val="none"/>
        </w:rPr>
      </w:pPr>
      <w:r>
        <w:rPr>
          <w:rFonts w:ascii="Times New Roman"/>
          <w:highlight w:val="none"/>
        </w:rPr>
        <w:t>1、投标文件中开标一览表（报价表）内容与投标文件中相应内容不一致的，以开标一览表（报价表）为准；</w:t>
      </w:r>
    </w:p>
    <w:p>
      <w:pPr>
        <w:snapToGrid w:val="0"/>
        <w:spacing w:line="480" w:lineRule="exact"/>
        <w:ind w:firstLine="480" w:firstLineChars="200"/>
        <w:rPr>
          <w:rFonts w:ascii="Times New Roman"/>
          <w:highlight w:val="none"/>
        </w:rPr>
      </w:pPr>
      <w:r>
        <w:rPr>
          <w:rFonts w:ascii="Times New Roman"/>
          <w:highlight w:val="none"/>
        </w:rPr>
        <w:t>2、大写金额和小写金额不一致的，以大写金额为准；</w:t>
      </w:r>
    </w:p>
    <w:p>
      <w:pPr>
        <w:snapToGrid w:val="0"/>
        <w:spacing w:line="480" w:lineRule="exact"/>
        <w:ind w:firstLine="480" w:firstLineChars="200"/>
        <w:rPr>
          <w:rFonts w:ascii="Times New Roman"/>
          <w:highlight w:val="none"/>
        </w:rPr>
      </w:pPr>
      <w:r>
        <w:rPr>
          <w:rFonts w:ascii="Times New Roman"/>
          <w:highlight w:val="none"/>
        </w:rPr>
        <w:t>3、单价金额小数点或者百分比有明显错位的，以开标一览表的总价为准，并修改单价；</w:t>
      </w:r>
    </w:p>
    <w:p>
      <w:pPr>
        <w:snapToGrid w:val="0"/>
        <w:spacing w:line="480" w:lineRule="exact"/>
        <w:ind w:firstLine="480" w:firstLineChars="200"/>
        <w:rPr>
          <w:rFonts w:ascii="Times New Roman"/>
          <w:highlight w:val="none"/>
        </w:rPr>
      </w:pPr>
      <w:r>
        <w:rPr>
          <w:rFonts w:ascii="Times New Roman"/>
          <w:highlight w:val="none"/>
        </w:rPr>
        <w:t>4、总价金额与按单价汇总金额不一致的，以单价金额计算结果为准。</w:t>
      </w:r>
    </w:p>
    <w:p>
      <w:pPr>
        <w:snapToGrid w:val="0"/>
        <w:spacing w:line="480" w:lineRule="exact"/>
        <w:ind w:firstLine="480" w:firstLineChars="200"/>
        <w:rPr>
          <w:rFonts w:ascii="Times New Roman"/>
          <w:highlight w:val="none"/>
        </w:rPr>
      </w:pPr>
      <w:r>
        <w:rPr>
          <w:rFonts w:ascii="Times New Roman"/>
          <w:highlight w:val="none"/>
        </w:rPr>
        <w:t>同时出现两种以上不一致的，按照前款规定的顺序修正。修正后的报价按照财政部第87号令第五十一条第二款的规定经投标人确认后产生约束力，投标人不确认的，其投标无效。</w:t>
      </w:r>
    </w:p>
    <w:p>
      <w:pPr>
        <w:tabs>
          <w:tab w:val="left" w:pos="3585"/>
        </w:tabs>
        <w:snapToGrid w:val="0"/>
        <w:spacing w:line="480" w:lineRule="exact"/>
        <w:ind w:firstLine="482" w:firstLineChars="200"/>
        <w:rPr>
          <w:rFonts w:ascii="Times New Roman"/>
          <w:b/>
          <w:bCs/>
          <w:highlight w:val="none"/>
        </w:rPr>
      </w:pPr>
      <w:r>
        <w:rPr>
          <w:rFonts w:ascii="Times New Roman"/>
          <w:b/>
          <w:bCs/>
          <w:highlight w:val="none"/>
        </w:rPr>
        <w:t>三、</w:t>
      </w:r>
      <w:r>
        <w:rPr>
          <w:rFonts w:ascii="Times New Roman"/>
          <w:b/>
          <w:highlight w:val="none"/>
        </w:rPr>
        <w:t>陈述、演示、</w:t>
      </w:r>
      <w:r>
        <w:rPr>
          <w:rFonts w:ascii="Times New Roman"/>
          <w:b/>
          <w:bCs/>
          <w:highlight w:val="none"/>
        </w:rPr>
        <w:t>答疑、澄清</w:t>
      </w:r>
    </w:p>
    <w:p>
      <w:pPr>
        <w:snapToGrid w:val="0"/>
        <w:spacing w:line="480" w:lineRule="exact"/>
        <w:ind w:firstLine="570"/>
        <w:rPr>
          <w:rFonts w:ascii="Times New Roman"/>
          <w:b/>
          <w:highlight w:val="none"/>
        </w:rPr>
      </w:pPr>
      <w:r>
        <w:rPr>
          <w:rFonts w:ascii="Times New Roman"/>
          <w:highlight w:val="none"/>
          <w:shd w:val="clear" w:color="auto" w:fill="FFFFFF"/>
        </w:rPr>
        <w:t>如评委会认为有必要，投标人按评委会的要求作陈述、演示、</w:t>
      </w:r>
      <w:r>
        <w:rPr>
          <w:rFonts w:ascii="Times New Roman"/>
          <w:highlight w:val="none"/>
        </w:rPr>
        <w:t>答疑及澄清其投标内容。时间由评委会掌握。</w:t>
      </w:r>
    </w:p>
    <w:p>
      <w:pPr>
        <w:snapToGrid w:val="0"/>
        <w:spacing w:line="480" w:lineRule="exact"/>
        <w:ind w:firstLine="570"/>
        <w:rPr>
          <w:rFonts w:ascii="Times New Roman"/>
          <w:highlight w:val="none"/>
        </w:rPr>
      </w:pPr>
      <w:r>
        <w:rPr>
          <w:rFonts w:ascii="Times New Roman"/>
          <w:highlight w:val="none"/>
        </w:rPr>
        <w:t>重要澄清答复应是书面的，但不得对投标内容进行实质性修改。</w:t>
      </w:r>
    </w:p>
    <w:p>
      <w:pPr>
        <w:snapToGrid w:val="0"/>
        <w:spacing w:line="480" w:lineRule="exact"/>
        <w:ind w:firstLine="570"/>
        <w:rPr>
          <w:rFonts w:ascii="Times New Roman"/>
          <w:b/>
          <w:highlight w:val="none"/>
        </w:rPr>
      </w:pPr>
      <w:r>
        <w:rPr>
          <w:rFonts w:ascii="Times New Roman"/>
          <w:b/>
          <w:highlight w:val="none"/>
        </w:rPr>
        <w:t>四、出现下列情形之一的，作无效投标处理</w:t>
      </w:r>
    </w:p>
    <w:p>
      <w:pPr>
        <w:numPr>
          <w:ilvl w:val="0"/>
          <w:numId w:val="3"/>
        </w:numPr>
        <w:snapToGrid w:val="0"/>
        <w:spacing w:line="480" w:lineRule="exact"/>
        <w:ind w:firstLine="480" w:firstLineChars="200"/>
        <w:rPr>
          <w:rFonts w:ascii="Times New Roman"/>
          <w:highlight w:val="none"/>
        </w:rPr>
      </w:pPr>
      <w:r>
        <w:rPr>
          <w:rFonts w:ascii="Times New Roman"/>
          <w:highlight w:val="none"/>
        </w:rPr>
        <w:t>投标文件未按招标文件要求密封、签署、盖章及主要资料不齐全或加盖电子签章；</w:t>
      </w:r>
    </w:p>
    <w:p>
      <w:pPr>
        <w:numPr>
          <w:ilvl w:val="0"/>
          <w:numId w:val="3"/>
        </w:numPr>
        <w:snapToGrid w:val="0"/>
        <w:spacing w:line="480" w:lineRule="exact"/>
        <w:ind w:firstLine="480" w:firstLineChars="200"/>
        <w:rPr>
          <w:rFonts w:ascii="Times New Roman"/>
          <w:highlight w:val="none"/>
        </w:rPr>
      </w:pPr>
      <w:r>
        <w:rPr>
          <w:rFonts w:ascii="Times New Roman"/>
          <w:highlight w:val="none"/>
        </w:rPr>
        <w:t>投标人在”鸿雁不见面交易系统”规定的时间内未成功解密电子投标文件的；</w:t>
      </w:r>
    </w:p>
    <w:p>
      <w:pPr>
        <w:numPr>
          <w:ilvl w:val="0"/>
          <w:numId w:val="3"/>
        </w:numPr>
        <w:snapToGrid w:val="0"/>
        <w:spacing w:line="480" w:lineRule="exact"/>
        <w:ind w:firstLine="480" w:firstLineChars="200"/>
        <w:rPr>
          <w:rFonts w:ascii="Times New Roman"/>
          <w:highlight w:val="none"/>
        </w:rPr>
      </w:pPr>
      <w:r>
        <w:rPr>
          <w:rFonts w:ascii="Times New Roman"/>
          <w:highlight w:val="none"/>
        </w:rPr>
        <w:t>未完整上传投标文件电子文档的，或上传的文件打不开的；</w:t>
      </w:r>
    </w:p>
    <w:p>
      <w:pPr>
        <w:numPr>
          <w:ilvl w:val="0"/>
          <w:numId w:val="3"/>
        </w:numPr>
        <w:snapToGrid w:val="0"/>
        <w:spacing w:line="480" w:lineRule="exact"/>
        <w:ind w:firstLine="480" w:firstLineChars="200"/>
        <w:rPr>
          <w:rFonts w:ascii="Times New Roman"/>
          <w:highlight w:val="none"/>
        </w:rPr>
      </w:pPr>
      <w:r>
        <w:rPr>
          <w:rFonts w:ascii="Times New Roman"/>
          <w:highlight w:val="none"/>
        </w:rPr>
        <w:t>不具备招标文件中规定的资格要求的；</w:t>
      </w:r>
    </w:p>
    <w:p>
      <w:pPr>
        <w:numPr>
          <w:ilvl w:val="0"/>
          <w:numId w:val="3"/>
        </w:numPr>
        <w:snapToGrid w:val="0"/>
        <w:spacing w:line="480" w:lineRule="exact"/>
        <w:ind w:firstLine="480" w:firstLineChars="200"/>
        <w:rPr>
          <w:rFonts w:ascii="Times New Roman"/>
          <w:highlight w:val="none"/>
        </w:rPr>
      </w:pPr>
      <w:r>
        <w:rPr>
          <w:rFonts w:ascii="Times New Roman"/>
          <w:highlight w:val="none"/>
        </w:rPr>
        <w:t>未通过符合性检查的；</w:t>
      </w:r>
    </w:p>
    <w:p>
      <w:pPr>
        <w:numPr>
          <w:ilvl w:val="0"/>
          <w:numId w:val="3"/>
        </w:numPr>
        <w:snapToGrid w:val="0"/>
        <w:spacing w:line="480" w:lineRule="exact"/>
        <w:ind w:firstLine="480" w:firstLineChars="200"/>
        <w:rPr>
          <w:rFonts w:ascii="Times New Roman"/>
          <w:highlight w:val="none"/>
        </w:rPr>
      </w:pPr>
      <w:r>
        <w:rPr>
          <w:rFonts w:ascii="Times New Roman"/>
          <w:highlight w:val="none"/>
        </w:rPr>
        <w:t>报价超过招标文件中规定的预算金额或者最高限价的；</w:t>
      </w:r>
    </w:p>
    <w:p>
      <w:pPr>
        <w:numPr>
          <w:ilvl w:val="0"/>
          <w:numId w:val="3"/>
        </w:numPr>
        <w:snapToGrid w:val="0"/>
        <w:spacing w:line="480" w:lineRule="exact"/>
        <w:ind w:firstLine="480" w:firstLineChars="200"/>
        <w:rPr>
          <w:rFonts w:ascii="Times New Roman"/>
          <w:highlight w:val="none"/>
        </w:rPr>
      </w:pPr>
      <w:r>
        <w:rPr>
          <w:rFonts w:ascii="Times New Roman"/>
          <w:highlight w:val="none"/>
        </w:rPr>
        <w:t>同一投标人提交两个（含两个）以上不同的投标报价的；</w:t>
      </w:r>
    </w:p>
    <w:p>
      <w:pPr>
        <w:numPr>
          <w:ilvl w:val="0"/>
          <w:numId w:val="3"/>
        </w:numPr>
        <w:snapToGrid w:val="0"/>
        <w:spacing w:line="480" w:lineRule="exact"/>
        <w:ind w:firstLine="480" w:firstLineChars="200"/>
        <w:rPr>
          <w:rFonts w:ascii="Times New Roman"/>
          <w:highlight w:val="none"/>
        </w:rPr>
      </w:pPr>
      <w:r>
        <w:rPr>
          <w:rFonts w:ascii="Times New Roman"/>
          <w:highlight w:val="none"/>
        </w:rPr>
        <w:t>报价文件出现在其他投标文件中的；</w:t>
      </w:r>
    </w:p>
    <w:p>
      <w:pPr>
        <w:numPr>
          <w:ilvl w:val="0"/>
          <w:numId w:val="3"/>
        </w:numPr>
        <w:snapToGrid w:val="0"/>
        <w:spacing w:line="480" w:lineRule="exact"/>
        <w:ind w:firstLine="480" w:firstLineChars="200"/>
        <w:rPr>
          <w:rFonts w:ascii="Times New Roman"/>
          <w:color w:val="FF0000"/>
          <w:highlight w:val="none"/>
        </w:rPr>
      </w:pPr>
      <w:r>
        <w:rPr>
          <w:rFonts w:ascii="Times New Roman"/>
          <w:highlight w:val="none"/>
        </w:rPr>
        <w:t>投标文件含有采购人不能接受的附加条件的；</w:t>
      </w:r>
    </w:p>
    <w:p>
      <w:pPr>
        <w:numPr>
          <w:ilvl w:val="0"/>
          <w:numId w:val="3"/>
        </w:numPr>
        <w:snapToGrid w:val="0"/>
        <w:spacing w:line="480" w:lineRule="exact"/>
        <w:ind w:firstLine="480" w:firstLineChars="200"/>
        <w:rPr>
          <w:rFonts w:ascii="Times New Roman"/>
          <w:highlight w:val="none"/>
        </w:rPr>
      </w:pPr>
      <w:r>
        <w:rPr>
          <w:rFonts w:ascii="Times New Roman"/>
          <w:highlight w:val="none"/>
        </w:rPr>
        <w:t>不符合招标文件中规定的其他实质性要求和条件的；</w:t>
      </w:r>
    </w:p>
    <w:p>
      <w:pPr>
        <w:numPr>
          <w:ilvl w:val="0"/>
          <w:numId w:val="3"/>
        </w:numPr>
        <w:snapToGrid w:val="0"/>
        <w:spacing w:line="480" w:lineRule="exact"/>
        <w:ind w:firstLine="480" w:firstLineChars="200"/>
        <w:rPr>
          <w:rFonts w:ascii="Times New Roman"/>
          <w:highlight w:val="none"/>
        </w:rPr>
      </w:pPr>
      <w:r>
        <w:rPr>
          <w:rFonts w:ascii="Times New Roman"/>
          <w:highlight w:val="none"/>
        </w:rPr>
        <w:t>投标人的商务技术部分得分相差悬殊，评标委员会认为得分畸低者没有实质性响应的；</w:t>
      </w:r>
    </w:p>
    <w:p>
      <w:pPr>
        <w:numPr>
          <w:ilvl w:val="0"/>
          <w:numId w:val="3"/>
        </w:numPr>
        <w:snapToGrid w:val="0"/>
        <w:spacing w:line="480" w:lineRule="exact"/>
        <w:ind w:firstLine="480" w:firstLineChars="200"/>
        <w:rPr>
          <w:rFonts w:ascii="Times New Roman"/>
          <w:highlight w:val="none"/>
        </w:rPr>
      </w:pPr>
      <w:r>
        <w:rPr>
          <w:rFonts w:ascii="Times New Roman"/>
          <w:highlight w:val="none"/>
        </w:rPr>
        <w:t>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pPr>
        <w:numPr>
          <w:ilvl w:val="0"/>
          <w:numId w:val="3"/>
        </w:numPr>
        <w:snapToGrid w:val="0"/>
        <w:spacing w:line="480" w:lineRule="exact"/>
        <w:ind w:firstLine="480" w:firstLineChars="200"/>
        <w:rPr>
          <w:rFonts w:ascii="Times New Roman"/>
          <w:highlight w:val="none"/>
        </w:rPr>
      </w:pPr>
      <w:r>
        <w:rPr>
          <w:rFonts w:ascii="Times New Roman"/>
          <w:highlight w:val="none"/>
        </w:rPr>
        <w:t>投标人 “信用中国”网站（www.creditchina.gov.cn）</w:t>
      </w:r>
      <w:r>
        <w:rPr>
          <w:rFonts w:hint="eastAsia" w:ascii="Times New Roman"/>
          <w:highlight w:val="none"/>
        </w:rPr>
        <w:t>、“中国政府采购网”（www.ccgp.gov.cn）</w:t>
      </w:r>
      <w:r>
        <w:rPr>
          <w:rFonts w:ascii="Times New Roman"/>
          <w:highlight w:val="none"/>
        </w:rPr>
        <w:t>列入失信被执行人或重大税收违法案件当事人名单或政府采购严重失信行为记录名单。或查询“信用中国”</w:t>
      </w:r>
      <w:r>
        <w:rPr>
          <w:rFonts w:hint="eastAsia" w:ascii="Times New Roman"/>
          <w:highlight w:val="none"/>
        </w:rPr>
        <w:t>、“中国政府采购网”等</w:t>
      </w:r>
      <w:r>
        <w:rPr>
          <w:rFonts w:ascii="Times New Roman"/>
          <w:highlight w:val="none"/>
        </w:rPr>
        <w:t>网站后发现投标人存在其他不符合《中华人民共和国政府采购法》第二十二条规定条件的信用记录；</w:t>
      </w:r>
    </w:p>
    <w:p>
      <w:pPr>
        <w:numPr>
          <w:ilvl w:val="0"/>
          <w:numId w:val="3"/>
        </w:numPr>
        <w:snapToGrid w:val="0"/>
        <w:spacing w:line="480" w:lineRule="exact"/>
        <w:ind w:firstLine="480" w:firstLineChars="200"/>
        <w:rPr>
          <w:rFonts w:ascii="Times New Roman"/>
          <w:highlight w:val="none"/>
        </w:rPr>
      </w:pPr>
      <w:r>
        <w:rPr>
          <w:rFonts w:ascii="Times New Roman"/>
          <w:highlight w:val="none"/>
        </w:rPr>
        <w:t>本项目采购产品被</w:t>
      </w:r>
      <w:r>
        <w:rPr>
          <w:rFonts w:ascii="Times New Roman"/>
          <w:szCs w:val="21"/>
          <w:highlight w:val="none"/>
        </w:rPr>
        <w:t>列入</w:t>
      </w:r>
      <w:r>
        <w:rPr>
          <w:rFonts w:ascii="Times New Roman"/>
          <w:szCs w:val="21"/>
          <w:highlight w:val="none"/>
          <w:lang w:val="zh-CN"/>
        </w:rPr>
        <w:t>政府采购节能产品、环境标志产品实施品目清单</w:t>
      </w:r>
      <w:r>
        <w:rPr>
          <w:rFonts w:ascii="Times New Roman"/>
          <w:szCs w:val="21"/>
          <w:highlight w:val="none"/>
        </w:rPr>
        <w:t>强制采购范围</w:t>
      </w:r>
      <w:r>
        <w:rPr>
          <w:rFonts w:ascii="Times New Roman"/>
          <w:highlight w:val="none"/>
        </w:rPr>
        <w:t>，而投标人所投标产品不在强制采购范围内的；</w:t>
      </w:r>
    </w:p>
    <w:p>
      <w:pPr>
        <w:numPr>
          <w:ilvl w:val="0"/>
          <w:numId w:val="3"/>
        </w:numPr>
        <w:snapToGrid w:val="0"/>
        <w:spacing w:line="480" w:lineRule="exact"/>
        <w:ind w:firstLine="480" w:firstLineChars="200"/>
        <w:rPr>
          <w:rFonts w:ascii="Times New Roman"/>
          <w:color w:val="FF0000"/>
          <w:highlight w:val="none"/>
        </w:rPr>
      </w:pPr>
      <w:r>
        <w:rPr>
          <w:rFonts w:ascii="Times New Roman"/>
          <w:highlight w:val="none"/>
        </w:rPr>
        <w:t>不同的投标人投标文件制作机器码、文件创建标识码一致的；</w:t>
      </w:r>
    </w:p>
    <w:p>
      <w:pPr>
        <w:numPr>
          <w:ilvl w:val="0"/>
          <w:numId w:val="3"/>
        </w:numPr>
        <w:snapToGrid w:val="0"/>
        <w:spacing w:line="480" w:lineRule="exact"/>
        <w:ind w:firstLine="480" w:firstLineChars="200"/>
        <w:rPr>
          <w:rFonts w:ascii="Times New Roman"/>
          <w:highlight w:val="none"/>
        </w:rPr>
      </w:pPr>
      <w:r>
        <w:rPr>
          <w:rFonts w:ascii="Times New Roman"/>
          <w:highlight w:val="none"/>
        </w:rPr>
        <w:t>其他法律、法规及本招标文件规定的属无效投标的情形。</w:t>
      </w:r>
    </w:p>
    <w:p>
      <w:pPr>
        <w:snapToGrid w:val="0"/>
        <w:spacing w:line="480" w:lineRule="exact"/>
        <w:ind w:firstLine="480" w:firstLineChars="200"/>
        <w:rPr>
          <w:rFonts w:ascii="Times New Roman"/>
          <w:highlight w:val="none"/>
        </w:rPr>
      </w:pPr>
      <w:r>
        <w:rPr>
          <w:rFonts w:ascii="Times New Roman"/>
          <w:highlight w:val="none"/>
        </w:rPr>
        <w:t xml:space="preserve">            </w:t>
      </w:r>
    </w:p>
    <w:p>
      <w:pPr>
        <w:snapToGrid w:val="0"/>
        <w:spacing w:line="480" w:lineRule="exact"/>
        <w:ind w:firstLine="570"/>
        <w:rPr>
          <w:rFonts w:ascii="Times New Roman"/>
          <w:b/>
          <w:highlight w:val="none"/>
        </w:rPr>
      </w:pPr>
      <w:r>
        <w:rPr>
          <w:rFonts w:ascii="Times New Roman"/>
          <w:b/>
          <w:highlight w:val="none"/>
        </w:rPr>
        <w:t>五、出现下列情形之一的，作废标处理</w:t>
      </w:r>
    </w:p>
    <w:p>
      <w:pPr>
        <w:snapToGrid w:val="0"/>
        <w:spacing w:line="480" w:lineRule="exact"/>
        <w:ind w:firstLine="480" w:firstLineChars="200"/>
        <w:rPr>
          <w:rFonts w:ascii="Times New Roman"/>
          <w:highlight w:val="none"/>
        </w:rPr>
      </w:pPr>
      <w:r>
        <w:rPr>
          <w:rFonts w:ascii="Times New Roman"/>
          <w:highlight w:val="none"/>
        </w:rPr>
        <w:t xml:space="preserve">1、符合专业条件的投标人或者对招标文件作实质响应的投标人不足 </w:t>
      </w:r>
      <w:r>
        <w:rPr>
          <w:rFonts w:hint="eastAsia" w:ascii="Times New Roman"/>
          <w:highlight w:val="none"/>
          <w:u w:val="single"/>
        </w:rPr>
        <w:t>3</w:t>
      </w:r>
      <w:r>
        <w:rPr>
          <w:rFonts w:ascii="Times New Roman"/>
          <w:highlight w:val="none"/>
        </w:rPr>
        <w:t>家的；</w:t>
      </w:r>
    </w:p>
    <w:p>
      <w:pPr>
        <w:snapToGrid w:val="0"/>
        <w:spacing w:line="480" w:lineRule="exact"/>
        <w:ind w:firstLine="480" w:firstLineChars="200"/>
        <w:rPr>
          <w:rFonts w:ascii="Times New Roman"/>
          <w:highlight w:val="none"/>
        </w:rPr>
      </w:pPr>
      <w:r>
        <w:rPr>
          <w:rFonts w:ascii="Times New Roman"/>
          <w:highlight w:val="none"/>
        </w:rPr>
        <w:t>2、出现影响采购公正的违法违规行为的；</w:t>
      </w:r>
    </w:p>
    <w:p>
      <w:pPr>
        <w:snapToGrid w:val="0"/>
        <w:spacing w:line="480" w:lineRule="exact"/>
        <w:ind w:firstLine="480" w:firstLineChars="200"/>
        <w:rPr>
          <w:rFonts w:ascii="Times New Roman"/>
          <w:highlight w:val="none"/>
        </w:rPr>
      </w:pPr>
      <w:r>
        <w:rPr>
          <w:rFonts w:ascii="Times New Roman"/>
          <w:highlight w:val="none"/>
        </w:rPr>
        <w:t>3、投标人的报价均超过了采购预算，采购人不能支付的；</w:t>
      </w:r>
    </w:p>
    <w:p>
      <w:pPr>
        <w:snapToGrid w:val="0"/>
        <w:spacing w:line="480" w:lineRule="exact"/>
        <w:ind w:firstLine="480" w:firstLineChars="200"/>
        <w:rPr>
          <w:rFonts w:ascii="Times New Roman"/>
          <w:highlight w:val="none"/>
        </w:rPr>
      </w:pPr>
      <w:r>
        <w:rPr>
          <w:rFonts w:ascii="Times New Roman"/>
          <w:highlight w:val="none"/>
        </w:rPr>
        <w:t>4、因重大变故，采购任务取消的；</w:t>
      </w:r>
    </w:p>
    <w:p>
      <w:pPr>
        <w:snapToGrid w:val="0"/>
        <w:spacing w:line="480" w:lineRule="exact"/>
        <w:ind w:firstLine="480" w:firstLineChars="200"/>
        <w:rPr>
          <w:rFonts w:ascii="Times New Roman"/>
          <w:highlight w:val="none"/>
        </w:rPr>
      </w:pPr>
      <w:r>
        <w:rPr>
          <w:rFonts w:ascii="Times New Roman"/>
          <w:highlight w:val="none"/>
        </w:rPr>
        <w:t>5、评标委员会认定招标文件存在歧义、重大缺陷导致评审工作无法进行；</w:t>
      </w:r>
    </w:p>
    <w:p>
      <w:pPr>
        <w:snapToGrid w:val="0"/>
        <w:spacing w:line="480" w:lineRule="exact"/>
        <w:ind w:firstLine="480" w:firstLineChars="200"/>
        <w:rPr>
          <w:rFonts w:ascii="Times New Roman"/>
          <w:highlight w:val="none"/>
        </w:rPr>
      </w:pPr>
      <w:r>
        <w:rPr>
          <w:rFonts w:ascii="Times New Roman"/>
          <w:highlight w:val="none"/>
        </w:rPr>
        <w:t>6、因系统故障原因造成开评标无法继续进行的。</w:t>
      </w:r>
    </w:p>
    <w:p>
      <w:pPr>
        <w:snapToGrid w:val="0"/>
        <w:spacing w:line="480" w:lineRule="exact"/>
        <w:ind w:firstLine="555"/>
        <w:rPr>
          <w:rFonts w:ascii="Times New Roman"/>
          <w:highlight w:val="none"/>
        </w:rPr>
      </w:pPr>
      <w:r>
        <w:rPr>
          <w:rFonts w:ascii="Times New Roman"/>
          <w:highlight w:val="none"/>
        </w:rPr>
        <w:t>上述均保留评委会认定可以确定为无效投标或废标的其他情况。</w:t>
      </w:r>
    </w:p>
    <w:p>
      <w:pPr>
        <w:snapToGrid w:val="0"/>
        <w:spacing w:line="480" w:lineRule="exact"/>
        <w:ind w:firstLine="555"/>
        <w:rPr>
          <w:rFonts w:ascii="Times New Roman"/>
          <w:b/>
          <w:highlight w:val="none"/>
        </w:rPr>
      </w:pPr>
      <w:r>
        <w:rPr>
          <w:rFonts w:ascii="Times New Roman"/>
          <w:b/>
          <w:highlight w:val="none"/>
        </w:rPr>
        <w:t>六</w:t>
      </w:r>
      <w:r>
        <w:rPr>
          <w:rFonts w:ascii="Times New Roman"/>
          <w:highlight w:val="none"/>
        </w:rPr>
        <w:t>、</w:t>
      </w:r>
      <w:r>
        <w:rPr>
          <w:rFonts w:ascii="Times New Roman"/>
          <w:b/>
          <w:highlight w:val="none"/>
        </w:rPr>
        <w:t>变更为其他方式采购的情形</w:t>
      </w:r>
    </w:p>
    <w:p>
      <w:pPr>
        <w:autoSpaceDE w:val="0"/>
        <w:autoSpaceDN w:val="0"/>
        <w:adjustRightInd w:val="0"/>
        <w:snapToGrid w:val="0"/>
        <w:spacing w:line="480" w:lineRule="exact"/>
        <w:ind w:firstLine="480" w:firstLineChars="200"/>
        <w:rPr>
          <w:rFonts w:ascii="Times New Roman"/>
          <w:highlight w:val="none"/>
          <w:lang w:val="zh-CN"/>
        </w:rPr>
      </w:pPr>
      <w:r>
        <w:rPr>
          <w:rFonts w:ascii="Times New Roman"/>
          <w:highlight w:val="none"/>
        </w:rPr>
        <w:t xml:space="preserve">投标截止时间出现：参加投标的供应商不足 </w:t>
      </w:r>
      <w:r>
        <w:rPr>
          <w:rFonts w:hint="eastAsia" w:ascii="Times New Roman"/>
          <w:highlight w:val="none"/>
          <w:u w:val="single"/>
        </w:rPr>
        <w:t>3</w:t>
      </w:r>
      <w:r>
        <w:rPr>
          <w:rFonts w:ascii="Times New Roman"/>
          <w:highlight w:val="none"/>
        </w:rPr>
        <w:t>家的，及评标中出现符合专业条件的供应商或对招标文件作实质响应的投标人不足</w:t>
      </w:r>
      <w:r>
        <w:rPr>
          <w:rFonts w:hint="eastAsia" w:ascii="Times New Roman"/>
          <w:highlight w:val="none"/>
          <w:u w:val="single"/>
        </w:rPr>
        <w:t>3</w:t>
      </w:r>
      <w:r>
        <w:rPr>
          <w:rFonts w:ascii="Times New Roman"/>
          <w:highlight w:val="none"/>
        </w:rPr>
        <w:t>家如下情形时，除采购任务取消外，采购人报告财政局，视情采取其他方式采购。</w:t>
      </w:r>
      <w:r>
        <w:rPr>
          <w:rFonts w:ascii="Times New Roman"/>
          <w:highlight w:val="none"/>
          <w:lang w:val="zh-CN"/>
        </w:rPr>
        <w:t>本次招标文件中对供应商资质、技术等要求，将作为</w:t>
      </w:r>
      <w:r>
        <w:rPr>
          <w:rFonts w:ascii="Times New Roman"/>
          <w:highlight w:val="none"/>
        </w:rPr>
        <w:t>其他</w:t>
      </w:r>
      <w:r>
        <w:rPr>
          <w:rFonts w:ascii="Times New Roman"/>
          <w:highlight w:val="none"/>
          <w:lang w:val="zh-CN"/>
        </w:rPr>
        <w:t>方式采购的基本要求和依据。原已经参加投标并符合要求的供应商，根据自愿原则，参加</w:t>
      </w:r>
      <w:r>
        <w:rPr>
          <w:rFonts w:ascii="Times New Roman"/>
          <w:highlight w:val="none"/>
        </w:rPr>
        <w:t>其他</w:t>
      </w:r>
      <w:r>
        <w:rPr>
          <w:rFonts w:ascii="Times New Roman"/>
          <w:highlight w:val="none"/>
          <w:lang w:val="zh-CN"/>
        </w:rPr>
        <w:t>方式采购。</w:t>
      </w:r>
    </w:p>
    <w:p>
      <w:pPr>
        <w:pStyle w:val="21"/>
        <w:snapToGrid w:val="0"/>
        <w:spacing w:before="0" w:after="0" w:line="500" w:lineRule="exact"/>
        <w:ind w:left="0" w:right="0" w:firstLine="482" w:firstLineChars="200"/>
        <w:jc w:val="left"/>
        <w:rPr>
          <w:rFonts w:ascii="Times New Roman" w:hAnsi="Times New Roman"/>
          <w:b/>
          <w:kern w:val="2"/>
          <w:szCs w:val="24"/>
          <w:highlight w:val="none"/>
        </w:rPr>
      </w:pPr>
      <w:r>
        <w:rPr>
          <w:rFonts w:ascii="Times New Roman" w:hAnsi="Times New Roman"/>
          <w:b/>
          <w:highlight w:val="none"/>
        </w:rPr>
        <w:t>七、</w:t>
      </w:r>
      <w:r>
        <w:rPr>
          <w:rFonts w:ascii="Times New Roman" w:hAnsi="Times New Roman"/>
          <w:b/>
          <w:kern w:val="2"/>
          <w:szCs w:val="24"/>
          <w:highlight w:val="none"/>
        </w:rPr>
        <w:t>评标流程和评标标准</w:t>
      </w:r>
    </w:p>
    <w:p>
      <w:pPr>
        <w:adjustRightInd w:val="0"/>
        <w:snapToGrid w:val="0"/>
        <w:spacing w:line="500" w:lineRule="exact"/>
        <w:ind w:firstLine="555"/>
        <w:rPr>
          <w:rFonts w:ascii="Times New Roman"/>
          <w:szCs w:val="24"/>
          <w:highlight w:val="none"/>
        </w:rPr>
      </w:pPr>
      <w:r>
        <w:rPr>
          <w:rFonts w:ascii="Times New Roman"/>
          <w:szCs w:val="24"/>
          <w:highlight w:val="none"/>
        </w:rPr>
        <w:t>采用综合评分法。分资格审查文件、商务技术文件、报价文件三部分评审，总分值为100分，加分和减分因素除外。</w:t>
      </w:r>
    </w:p>
    <w:p>
      <w:pPr>
        <w:adjustRightInd w:val="0"/>
        <w:snapToGrid w:val="0"/>
        <w:spacing w:line="500" w:lineRule="exact"/>
        <w:ind w:firstLine="555"/>
        <w:rPr>
          <w:rFonts w:ascii="Times New Roman"/>
          <w:szCs w:val="24"/>
          <w:highlight w:val="none"/>
        </w:rPr>
      </w:pPr>
      <w:r>
        <w:rPr>
          <w:rFonts w:ascii="Times New Roman"/>
          <w:szCs w:val="24"/>
          <w:highlight w:val="none"/>
        </w:rPr>
        <w:t>首先由</w:t>
      </w:r>
      <w:r>
        <w:rPr>
          <w:rFonts w:ascii="Times New Roman"/>
          <w:highlight w:val="none"/>
        </w:rPr>
        <w:t>采购人</w:t>
      </w:r>
      <w:r>
        <w:rPr>
          <w:rFonts w:ascii="Times New Roman"/>
          <w:szCs w:val="24"/>
          <w:highlight w:val="none"/>
        </w:rPr>
        <w:t>对投标人资格进行审查，然后评标委员会对符合资格的投标人的投标文件进行符合性审查，最后评标委员会对符合性审查合格的投标文件商务、技术部分进行评估，综合比较与评价。待商务技术文件评审结束后，进行报价文件的开启、评审。投标人商务、技术部分和价格部分的合计分值，为该投标人的评标总得分。</w:t>
      </w:r>
    </w:p>
    <w:p>
      <w:pPr>
        <w:adjustRightInd w:val="0"/>
        <w:snapToGrid w:val="0"/>
        <w:spacing w:line="500" w:lineRule="exact"/>
        <w:ind w:firstLine="555"/>
        <w:rPr>
          <w:rFonts w:ascii="Times New Roman"/>
          <w:szCs w:val="24"/>
          <w:highlight w:val="none"/>
        </w:rPr>
      </w:pPr>
      <w:r>
        <w:rPr>
          <w:rFonts w:ascii="Times New Roman"/>
          <w:szCs w:val="24"/>
          <w:highlight w:val="none"/>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pPr>
        <w:adjustRightInd w:val="0"/>
        <w:snapToGrid w:val="0"/>
        <w:spacing w:line="500" w:lineRule="exact"/>
        <w:ind w:firstLine="555"/>
        <w:rPr>
          <w:rFonts w:ascii="Times New Roman"/>
          <w:szCs w:val="24"/>
          <w:highlight w:val="none"/>
        </w:rPr>
      </w:pPr>
      <w:r>
        <w:rPr>
          <w:rFonts w:ascii="Times New Roman"/>
          <w:szCs w:val="24"/>
          <w:highlight w:val="none"/>
        </w:rPr>
        <w:t>评委在认真审阅投标文件的基础上，根据各投标文件的响应程度独立评判，不得统一打分。</w:t>
      </w:r>
    </w:p>
    <w:p>
      <w:pPr>
        <w:snapToGrid w:val="0"/>
        <w:spacing w:line="480" w:lineRule="exact"/>
        <w:ind w:firstLine="570"/>
        <w:rPr>
          <w:rFonts w:ascii="Times New Roman"/>
          <w:b/>
          <w:szCs w:val="24"/>
          <w:highlight w:val="none"/>
        </w:rPr>
      </w:pPr>
      <w:r>
        <w:rPr>
          <w:rFonts w:ascii="Times New Roman"/>
          <w:b/>
          <w:szCs w:val="24"/>
          <w:highlight w:val="none"/>
        </w:rPr>
        <w:t>（一）</w:t>
      </w:r>
      <w:r>
        <w:rPr>
          <w:rFonts w:hint="eastAsia" w:ascii="Times New Roman"/>
          <w:b/>
          <w:szCs w:val="24"/>
          <w:highlight w:val="none"/>
        </w:rPr>
        <w:t>采购人</w:t>
      </w:r>
      <w:r>
        <w:rPr>
          <w:rFonts w:ascii="Times New Roman"/>
          <w:b/>
          <w:szCs w:val="24"/>
          <w:highlight w:val="none"/>
        </w:rPr>
        <w:t>对投标人资格进行审查。</w:t>
      </w:r>
    </w:p>
    <w:p>
      <w:pPr>
        <w:pStyle w:val="20"/>
        <w:adjustRightInd w:val="0"/>
        <w:snapToGrid w:val="0"/>
        <w:spacing w:line="500" w:lineRule="exact"/>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投标人资格不合格的，其投标文件判定为无效投标文件。</w:t>
      </w:r>
    </w:p>
    <w:p>
      <w:pPr>
        <w:snapToGrid w:val="0"/>
        <w:spacing w:line="480" w:lineRule="exact"/>
        <w:ind w:firstLine="570"/>
        <w:rPr>
          <w:rFonts w:ascii="Times New Roman"/>
          <w:b/>
          <w:szCs w:val="24"/>
          <w:highlight w:val="none"/>
        </w:rPr>
      </w:pPr>
      <w:r>
        <w:rPr>
          <w:rFonts w:ascii="Times New Roman"/>
          <w:b/>
          <w:szCs w:val="24"/>
          <w:highlight w:val="none"/>
        </w:rPr>
        <w:t>（二）评标委员会对符合资格投标人的投标文件进行符合性审查。</w:t>
      </w:r>
    </w:p>
    <w:p>
      <w:pPr>
        <w:pStyle w:val="20"/>
        <w:adjustRightInd w:val="0"/>
        <w:snapToGrid w:val="0"/>
        <w:spacing w:line="500" w:lineRule="exact"/>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 xml:space="preserve">未通过符合性审查的投标文件，将被判为不满足招标文件实质性要求。 </w:t>
      </w:r>
    </w:p>
    <w:p>
      <w:pPr>
        <w:snapToGrid w:val="0"/>
        <w:spacing w:line="480" w:lineRule="exact"/>
        <w:ind w:firstLine="570"/>
        <w:rPr>
          <w:rFonts w:ascii="Times New Roman"/>
          <w:bCs/>
          <w:szCs w:val="24"/>
          <w:highlight w:val="none"/>
          <w:lang w:val="zh-CN"/>
        </w:rPr>
      </w:pPr>
      <w:r>
        <w:rPr>
          <w:rFonts w:ascii="Times New Roman"/>
          <w:b/>
          <w:szCs w:val="24"/>
          <w:highlight w:val="none"/>
        </w:rPr>
        <w:t>（</w:t>
      </w:r>
      <w:r>
        <w:rPr>
          <w:rFonts w:ascii="Times New Roman"/>
          <w:b/>
          <w:szCs w:val="24"/>
          <w:highlight w:val="none"/>
          <w:lang w:val="zh-CN"/>
        </w:rPr>
        <w:t>三</w:t>
      </w:r>
      <w:r>
        <w:rPr>
          <w:rFonts w:ascii="Times New Roman"/>
          <w:b/>
          <w:szCs w:val="24"/>
          <w:highlight w:val="none"/>
        </w:rPr>
        <w:t>）</w:t>
      </w:r>
      <w:r>
        <w:rPr>
          <w:rFonts w:ascii="Times New Roman"/>
          <w:b/>
          <w:szCs w:val="24"/>
          <w:highlight w:val="none"/>
          <w:lang w:val="zh-CN"/>
        </w:rPr>
        <w:t>商务技术分：</w:t>
      </w:r>
      <w:r>
        <w:rPr>
          <w:rFonts w:hint="eastAsia" w:ascii="Times New Roman"/>
          <w:bCs/>
          <w:szCs w:val="24"/>
          <w:highlight w:val="none"/>
          <w:u w:val="single"/>
          <w:lang w:val="en-US" w:eastAsia="zh-CN"/>
        </w:rPr>
        <w:t>7</w:t>
      </w:r>
      <w:r>
        <w:rPr>
          <w:rFonts w:hint="eastAsia" w:ascii="Times New Roman"/>
          <w:bCs/>
          <w:szCs w:val="24"/>
          <w:highlight w:val="none"/>
          <w:u w:val="single"/>
        </w:rPr>
        <w:t>0</w:t>
      </w:r>
      <w:r>
        <w:rPr>
          <w:rFonts w:ascii="Times New Roman"/>
          <w:bCs/>
          <w:szCs w:val="24"/>
          <w:highlight w:val="none"/>
          <w:lang w:val="zh-CN"/>
        </w:rPr>
        <w:t>分</w:t>
      </w:r>
    </w:p>
    <w:p>
      <w:pPr>
        <w:snapToGrid w:val="0"/>
        <w:spacing w:line="360" w:lineRule="auto"/>
        <w:ind w:firstLine="480" w:firstLineChars="200"/>
        <w:jc w:val="left"/>
        <w:rPr>
          <w:sz w:val="24"/>
          <w:highlight w:val="none"/>
        </w:rPr>
      </w:pPr>
      <w:r>
        <w:rPr>
          <w:sz w:val="24"/>
          <w:highlight w:val="none"/>
        </w:rPr>
        <w:t>技术商务部分评审结束后，再开启最后报价计算分值。总分值为100分，加分和减分因素除外。</w:t>
      </w:r>
    </w:p>
    <w:p>
      <w:pPr>
        <w:numPr>
          <w:ilvl w:val="-1"/>
          <w:numId w:val="0"/>
        </w:numPr>
        <w:snapToGrid w:val="0"/>
        <w:spacing w:line="360" w:lineRule="auto"/>
        <w:ind w:left="0"/>
        <w:jc w:val="center"/>
        <w:rPr>
          <w:b/>
          <w:bCs/>
          <w:sz w:val="24"/>
          <w:highlight w:val="none"/>
        </w:rPr>
      </w:pPr>
      <w:r>
        <w:rPr>
          <w:b/>
          <w:bCs/>
          <w:sz w:val="24"/>
          <w:highlight w:val="none"/>
        </w:rPr>
        <w:t>技术商务响应文件（满分</w:t>
      </w:r>
      <w:r>
        <w:rPr>
          <w:rFonts w:hint="eastAsia"/>
          <w:b/>
          <w:bCs/>
          <w:sz w:val="24"/>
          <w:highlight w:val="none"/>
        </w:rPr>
        <w:t>70</w:t>
      </w:r>
      <w:r>
        <w:rPr>
          <w:b/>
          <w:bCs/>
          <w:sz w:val="24"/>
          <w:highlight w:val="none"/>
        </w:rPr>
        <w:t>分）</w:t>
      </w:r>
    </w:p>
    <w:tbl>
      <w:tblPr>
        <w:tblStyle w:val="18"/>
        <w:tblW w:w="8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75"/>
        <w:gridCol w:w="5683"/>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727" w:type="dxa"/>
            <w:tcBorders>
              <w:top w:val="single" w:color="auto" w:sz="4" w:space="0"/>
              <w:left w:val="single" w:color="auto" w:sz="4" w:space="0"/>
              <w:right w:val="single" w:color="auto" w:sz="4" w:space="0"/>
            </w:tcBorders>
            <w:vAlign w:val="center"/>
          </w:tcPr>
          <w:p>
            <w:pPr>
              <w:jc w:val="center"/>
              <w:rPr>
                <w:rFonts w:ascii="宋体" w:hAnsi="宋体" w:cs="宋体"/>
                <w:b/>
                <w:highlight w:val="none"/>
              </w:rPr>
            </w:pPr>
            <w:r>
              <w:rPr>
                <w:rFonts w:hint="eastAsia" w:ascii="宋体" w:hAnsi="宋体" w:cs="宋体"/>
                <w:b/>
                <w:highlight w:val="none"/>
              </w:rPr>
              <w:t>序号</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highlight w:val="none"/>
              </w:rPr>
            </w:pPr>
            <w:r>
              <w:rPr>
                <w:rFonts w:hint="eastAsia" w:ascii="宋体" w:hAnsi="宋体" w:cs="宋体"/>
                <w:b/>
                <w:highlight w:val="none"/>
              </w:rPr>
              <w:t>评审因素</w:t>
            </w:r>
          </w:p>
        </w:tc>
        <w:tc>
          <w:tcPr>
            <w:tcW w:w="5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highlight w:val="none"/>
              </w:rPr>
            </w:pPr>
            <w:r>
              <w:rPr>
                <w:rFonts w:hint="eastAsia" w:ascii="宋体" w:hAnsi="宋体" w:cs="宋体"/>
                <w:b/>
                <w:highlight w:val="none"/>
              </w:rPr>
              <w:t>评分项内容</w:t>
            </w:r>
          </w:p>
        </w:tc>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highlight w:val="none"/>
              </w:rPr>
            </w:pPr>
            <w:r>
              <w:rPr>
                <w:rFonts w:hint="eastAsia" w:ascii="宋体" w:hAnsi="宋体" w:cs="宋体"/>
                <w:b/>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27" w:type="dxa"/>
            <w:tcBorders>
              <w:top w:val="single" w:color="auto" w:sz="4" w:space="0"/>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1</w:t>
            </w:r>
          </w:p>
        </w:tc>
        <w:tc>
          <w:tcPr>
            <w:tcW w:w="975" w:type="dxa"/>
            <w:tcBorders>
              <w:top w:val="single" w:color="auto" w:sz="4" w:space="0"/>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技术参数部分</w:t>
            </w:r>
          </w:p>
        </w:tc>
        <w:tc>
          <w:tcPr>
            <w:tcW w:w="5683"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highlight w:val="none"/>
              </w:rPr>
            </w:pPr>
            <w:r>
              <w:rPr>
                <w:rFonts w:hint="eastAsia" w:ascii="宋体" w:hAnsi="宋体" w:cs="宋体"/>
                <w:highlight w:val="none"/>
              </w:rPr>
              <w:t>投标产品对招标文件具体需求的响应程度能够满足招标文件技术要求的得16分，加▲项技术要求如有负偏离每有一项扣2分（需提供真实系统环境下的截图证明材料并加盖公章），其他一般性技术要求每有一项负偏离扣1分，直至扣完为止。</w:t>
            </w:r>
          </w:p>
        </w:tc>
        <w:tc>
          <w:tcPr>
            <w:tcW w:w="742"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highlight w:val="none"/>
              </w:rPr>
            </w:pPr>
            <w:r>
              <w:rPr>
                <w:rFonts w:hint="eastAsia" w:ascii="宋体" w:hAnsi="宋体" w:cs="宋体"/>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727" w:type="dxa"/>
            <w:tcBorders>
              <w:top w:val="single" w:color="auto" w:sz="4" w:space="0"/>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2</w:t>
            </w:r>
          </w:p>
        </w:tc>
        <w:tc>
          <w:tcPr>
            <w:tcW w:w="975" w:type="dxa"/>
            <w:tcBorders>
              <w:top w:val="single" w:color="auto" w:sz="4" w:space="0"/>
              <w:left w:val="single" w:color="auto" w:sz="4" w:space="0"/>
              <w:right w:val="single" w:color="auto" w:sz="4" w:space="0"/>
            </w:tcBorders>
            <w:vAlign w:val="center"/>
          </w:tcPr>
          <w:p>
            <w:pPr>
              <w:rPr>
                <w:rFonts w:ascii="宋体" w:hAnsi="宋体" w:cs="宋体"/>
                <w:highlight w:val="none"/>
                <w:lang w:val="en-GB"/>
              </w:rPr>
            </w:pPr>
            <w:r>
              <w:rPr>
                <w:rFonts w:hint="eastAsia" w:ascii="宋体" w:hAnsi="宋体" w:cs="宋体"/>
                <w:highlight w:val="none"/>
                <w:lang w:bidi="ar"/>
              </w:rPr>
              <w:t>项目整体方案</w:t>
            </w:r>
          </w:p>
        </w:tc>
        <w:tc>
          <w:tcPr>
            <w:tcW w:w="56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lang w:val="en-GB"/>
              </w:rPr>
            </w:pPr>
            <w:r>
              <w:rPr>
                <w:rFonts w:hint="eastAsia" w:ascii="宋体" w:hAnsi="宋体" w:cs="宋体"/>
                <w:highlight w:val="none"/>
              </w:rPr>
              <w:t>评委根据供应商提供的整体技术方案先进性、合理性、稳定性、安全性等方面进行综合评分，整体技术方案技术先进、合理可行、性能稳定、安全可靠的，得3分；技术较先进、合理可行性、性能稳定性较高、较安全可靠的，得2分；技术先进性、合理可行性、性能稳定性、安全可靠性一般的，得1分；</w:t>
            </w:r>
            <w:r>
              <w:rPr>
                <w:rFonts w:hint="eastAsia" w:ascii="宋体" w:hAnsi="宋体" w:cs="宋体"/>
                <w:highlight w:val="none"/>
                <w:lang w:bidi="ar"/>
              </w:rPr>
              <w:t>不合理、不可行，不能满足项目需求的，得0分。</w:t>
            </w:r>
          </w:p>
        </w:tc>
        <w:tc>
          <w:tcPr>
            <w:tcW w:w="7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727" w:type="dxa"/>
            <w:tcBorders>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3</w:t>
            </w:r>
          </w:p>
        </w:tc>
        <w:tc>
          <w:tcPr>
            <w:tcW w:w="975" w:type="dxa"/>
            <w:tcBorders>
              <w:left w:val="single" w:color="auto" w:sz="4" w:space="0"/>
              <w:right w:val="single" w:color="auto" w:sz="4" w:space="0"/>
            </w:tcBorders>
            <w:shd w:val="clear" w:color="auto" w:fill="auto"/>
            <w:vAlign w:val="center"/>
          </w:tcPr>
          <w:p>
            <w:pPr>
              <w:rPr>
                <w:rFonts w:ascii="宋体" w:hAnsi="宋体" w:cs="宋体"/>
                <w:highlight w:val="none"/>
              </w:rPr>
            </w:pPr>
            <w:r>
              <w:rPr>
                <w:rFonts w:hint="eastAsia" w:ascii="宋体" w:hAnsi="宋体" w:cs="宋体"/>
                <w:highlight w:val="none"/>
                <w:lang w:bidi="ar"/>
              </w:rPr>
              <w:t>安装调试方案</w:t>
            </w:r>
          </w:p>
        </w:tc>
        <w:tc>
          <w:tcPr>
            <w:tcW w:w="5683"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highlight w:val="none"/>
              </w:rPr>
            </w:pPr>
            <w:r>
              <w:rPr>
                <w:rFonts w:hint="eastAsia" w:ascii="宋体" w:hAnsi="宋体" w:cs="宋体"/>
                <w:highlight w:val="none"/>
                <w:lang w:bidi="ar"/>
              </w:rPr>
              <w:t>根据投标单位完成项目时间进度安排，运输、安装调试、所提供的对接集成方案以及根据供应商提供的对操作、维护人员的培训方案及计划等进行综合评审，方案合理可行、完全满足项目需求的，得</w:t>
            </w:r>
            <w:r>
              <w:rPr>
                <w:rFonts w:hint="eastAsia" w:ascii="宋体" w:hAnsi="宋体" w:cs="宋体"/>
                <w:highlight w:val="none"/>
              </w:rPr>
              <w:t>3</w:t>
            </w:r>
            <w:r>
              <w:rPr>
                <w:rFonts w:hint="eastAsia" w:ascii="宋体" w:hAnsi="宋体" w:cs="宋体"/>
                <w:highlight w:val="none"/>
                <w:lang w:bidi="ar"/>
              </w:rPr>
              <w:t>分；合理可行，略有欠缺需要完善的，得</w:t>
            </w:r>
            <w:r>
              <w:rPr>
                <w:rFonts w:hint="eastAsia" w:ascii="宋体" w:hAnsi="宋体" w:cs="宋体"/>
                <w:highlight w:val="none"/>
              </w:rPr>
              <w:t>2</w:t>
            </w:r>
            <w:r>
              <w:rPr>
                <w:rFonts w:hint="eastAsia" w:ascii="宋体" w:hAnsi="宋体" w:cs="宋体"/>
                <w:highlight w:val="none"/>
                <w:lang w:bidi="ar"/>
              </w:rPr>
              <w:t>分；基本可行，有较大欠缺需要完善的，得</w:t>
            </w:r>
            <w:r>
              <w:rPr>
                <w:rFonts w:hint="eastAsia" w:ascii="宋体" w:hAnsi="宋体" w:cs="宋体"/>
                <w:highlight w:val="none"/>
              </w:rPr>
              <w:t>1</w:t>
            </w:r>
            <w:r>
              <w:rPr>
                <w:rFonts w:hint="eastAsia" w:ascii="宋体" w:hAnsi="宋体" w:cs="宋体"/>
                <w:highlight w:val="none"/>
                <w:lang w:bidi="ar"/>
              </w:rPr>
              <w:t>分；不合理、不可行，不能满足项目需求的，得0分。</w:t>
            </w:r>
          </w:p>
        </w:tc>
        <w:tc>
          <w:tcPr>
            <w:tcW w:w="742"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highlight w:val="none"/>
                <w:lang w:bidi="ar"/>
              </w:rPr>
            </w:pPr>
            <w:r>
              <w:rPr>
                <w:rFonts w:hint="eastAsia" w:ascii="宋体" w:hAnsi="宋体" w:cs="宋体"/>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27" w:type="dxa"/>
            <w:tcBorders>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4</w:t>
            </w:r>
          </w:p>
        </w:tc>
        <w:tc>
          <w:tcPr>
            <w:tcW w:w="975" w:type="dxa"/>
            <w:tcBorders>
              <w:left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lang w:bidi="ar"/>
              </w:rPr>
              <w:t>售后服务</w:t>
            </w:r>
            <w:r>
              <w:rPr>
                <w:rFonts w:hint="eastAsia" w:ascii="宋体" w:hAnsi="宋体" w:cs="宋体"/>
                <w:highlight w:val="none"/>
              </w:rPr>
              <w:t>方案</w:t>
            </w:r>
          </w:p>
        </w:tc>
        <w:tc>
          <w:tcPr>
            <w:tcW w:w="5683"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highlight w:val="none"/>
                <w:lang w:val="en-GB"/>
              </w:rPr>
            </w:pPr>
            <w:r>
              <w:rPr>
                <w:rFonts w:hint="eastAsia" w:ascii="宋体" w:hAnsi="宋体" w:cs="宋体"/>
                <w:highlight w:val="none"/>
                <w:lang w:bidi="ar"/>
              </w:rPr>
              <w:t>由评委根据投标人提供的售后服务体系、售后服务承诺、售后服务应答及处理时间，质保期内的售后服务范围、质保期满后的售后服务范围和收费情况进行打分，方案合理可行、完全满足项目需求的，得</w:t>
            </w:r>
            <w:r>
              <w:rPr>
                <w:rFonts w:hint="eastAsia" w:ascii="宋体" w:hAnsi="宋体" w:cs="宋体"/>
                <w:highlight w:val="none"/>
              </w:rPr>
              <w:t>3</w:t>
            </w:r>
            <w:r>
              <w:rPr>
                <w:rFonts w:hint="eastAsia" w:ascii="宋体" w:hAnsi="宋体" w:cs="宋体"/>
                <w:highlight w:val="none"/>
                <w:lang w:bidi="ar"/>
              </w:rPr>
              <w:t>分；合理可行，略有欠缺需要完善的，得</w:t>
            </w:r>
            <w:r>
              <w:rPr>
                <w:rFonts w:hint="eastAsia" w:ascii="宋体" w:hAnsi="宋体" w:cs="宋体"/>
                <w:highlight w:val="none"/>
              </w:rPr>
              <w:t>2</w:t>
            </w:r>
            <w:r>
              <w:rPr>
                <w:rFonts w:hint="eastAsia" w:ascii="宋体" w:hAnsi="宋体" w:cs="宋体"/>
                <w:highlight w:val="none"/>
                <w:lang w:bidi="ar"/>
              </w:rPr>
              <w:t>分；基本可行，有较大欠缺需要完善的，得</w:t>
            </w:r>
            <w:r>
              <w:rPr>
                <w:rFonts w:hint="eastAsia" w:ascii="宋体" w:hAnsi="宋体" w:cs="宋体"/>
                <w:highlight w:val="none"/>
              </w:rPr>
              <w:t>1</w:t>
            </w:r>
            <w:r>
              <w:rPr>
                <w:rFonts w:hint="eastAsia" w:ascii="宋体" w:hAnsi="宋体" w:cs="宋体"/>
                <w:highlight w:val="none"/>
                <w:lang w:bidi="ar"/>
              </w:rPr>
              <w:t>分；不合理、不可行，不能满足项目需求的，得0分。</w:t>
            </w:r>
          </w:p>
        </w:tc>
        <w:tc>
          <w:tcPr>
            <w:tcW w:w="742"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highlight w:val="none"/>
                <w:lang w:bidi="ar"/>
              </w:rPr>
            </w:pPr>
            <w:r>
              <w:rPr>
                <w:rFonts w:hint="eastAsia" w:ascii="宋体" w:hAnsi="宋体" w:cs="宋体"/>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727" w:type="dxa"/>
            <w:tcBorders>
              <w:top w:val="single" w:color="auto" w:sz="4" w:space="0"/>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5</w:t>
            </w:r>
          </w:p>
        </w:tc>
        <w:tc>
          <w:tcPr>
            <w:tcW w:w="975" w:type="dxa"/>
            <w:tcBorders>
              <w:top w:val="single" w:color="auto" w:sz="4" w:space="0"/>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现场演示部分</w:t>
            </w:r>
          </w:p>
        </w:tc>
        <w:tc>
          <w:tcPr>
            <w:tcW w:w="56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针对本次投标，投标单位针对招标文件技术参数中软件功能中如下功能点进行功能演示，供应商需在真实环境下进行演示（可通过视频方式），演示时间不超过15分钟，演示顺序由评标委员会现场随机抽取决定，评标委员会根据投标人所投产品的吻合程度进行评分，不得使用截图，否则演示视为无效，如提供虚假演示视频则取消中标资格。本项总分为27分，演示功能如有负偏离每有一项扣3分，直至扣完为止，未演示得0分。</w:t>
            </w:r>
          </w:p>
          <w:p>
            <w:pPr>
              <w:rPr>
                <w:rFonts w:ascii="宋体" w:hAnsi="宋体" w:cs="宋体"/>
                <w:highlight w:val="none"/>
              </w:rPr>
            </w:pPr>
            <w:r>
              <w:rPr>
                <w:rFonts w:hint="eastAsia" w:ascii="宋体" w:hAnsi="宋体" w:cs="宋体"/>
                <w:highlight w:val="none"/>
              </w:rPr>
              <w:t>1、政府会计制度：政府会计制度：通过智能引擎的判断,根据财务会计凭证自动生成预算会计凭证，无需人工干预。满足得3分，不满足不得分。（需提供真实环境下的演示视频，不得使用截图，否则不得分）。</w:t>
            </w:r>
          </w:p>
          <w:p>
            <w:pPr>
              <w:rPr>
                <w:rFonts w:ascii="宋体" w:hAnsi="宋体" w:cs="宋体"/>
                <w:highlight w:val="none"/>
              </w:rPr>
            </w:pPr>
            <w:r>
              <w:rPr>
                <w:rFonts w:hint="eastAsia" w:ascii="宋体" w:hAnsi="宋体" w:cs="宋体"/>
                <w:highlight w:val="none"/>
              </w:rPr>
              <w:t>2、下一年度建账：自动结转下年账目所需的数据，如科目、项目、往来等数据，并支持多次结转。多次结转不得影响次年账目及凭证数据。满足得3分，不满足不得分。（需提供真实环境下的演示视频，不得使用截图，否则不得分）。</w:t>
            </w:r>
          </w:p>
          <w:p>
            <w:pPr>
              <w:rPr>
                <w:rFonts w:ascii="宋体" w:hAnsi="宋体" w:cs="宋体"/>
                <w:highlight w:val="none"/>
              </w:rPr>
            </w:pPr>
            <w:r>
              <w:rPr>
                <w:rFonts w:hint="eastAsia" w:ascii="宋体" w:hAnsi="宋体" w:cs="宋体"/>
                <w:highlight w:val="none"/>
              </w:rPr>
              <w:t>3、项目代码管理：提供灵活的项目代码管理。支持项目分类管理（至少999个项目大类）；支持项目多种附加属性信息（至少50个）的维护与管理；支持多级项目管理；支持经费余额的实时冻结/解冻管理。满足得3分，不满足不得分。（需提供真实环境下的演示视频，不得使用截图，否则不得分）。</w:t>
            </w:r>
          </w:p>
          <w:p>
            <w:pPr>
              <w:rPr>
                <w:rFonts w:ascii="宋体" w:hAnsi="宋体" w:cs="宋体"/>
                <w:highlight w:val="none"/>
              </w:rPr>
            </w:pPr>
            <w:r>
              <w:rPr>
                <w:rFonts w:hint="eastAsia" w:ascii="宋体" w:hAnsi="宋体" w:cs="宋体"/>
                <w:highlight w:val="none"/>
              </w:rPr>
              <w:t>4、资金来源定义：提供资金来源的维护管理功能。资金来源需支持国库项目管理，支持国库支付的类、款、项分类、经费性质、资金性质、预算类型及支付方式等。实现项目经费的多来源核算管理。满足得3分，不满足不得分。（需提供真实环境下的演示视频，不得使用截图，否则不得分）。</w:t>
            </w:r>
          </w:p>
          <w:p>
            <w:pPr>
              <w:rPr>
                <w:rFonts w:ascii="宋体" w:hAnsi="宋体" w:cs="宋体"/>
                <w:highlight w:val="none"/>
              </w:rPr>
            </w:pPr>
            <w:r>
              <w:rPr>
                <w:rFonts w:hint="eastAsia" w:ascii="宋体" w:hAnsi="宋体" w:cs="宋体"/>
                <w:highlight w:val="none"/>
              </w:rPr>
              <w:t>5、项目预算管理：支持经费余额的实时冻结/解冻管理，支持根据预算模板的项目预算管理，实现项目经费的预算总额及分类预算项的控制及管理，并可提供多种预算控制方式（控制/警告提示等）。满足得3分，不满足不得分。（需提供真实环境下的演示视频，不得使用截图，否则不得分）。</w:t>
            </w:r>
          </w:p>
          <w:p>
            <w:pPr>
              <w:rPr>
                <w:rFonts w:ascii="宋体" w:hAnsi="宋体" w:cs="宋体"/>
                <w:highlight w:val="none"/>
              </w:rPr>
            </w:pPr>
            <w:r>
              <w:rPr>
                <w:rFonts w:hint="eastAsia" w:ascii="宋体" w:hAnsi="宋体" w:cs="宋体"/>
                <w:highlight w:val="none"/>
              </w:rPr>
              <w:t>6、预算模板管理：可按照经费性质设置不同类型的预算模板，对不同类型项目按照不同预算模板进行分类控制。如通用模板、科研经费、校内专项等。满足得3分，不满足不得分。（需提供真实环境下的演示视频，不得使用截图，否则不得分）。</w:t>
            </w:r>
          </w:p>
          <w:p>
            <w:pPr>
              <w:rPr>
                <w:rFonts w:ascii="宋体" w:hAnsi="宋体" w:cs="宋体"/>
                <w:highlight w:val="none"/>
              </w:rPr>
            </w:pPr>
            <w:r>
              <w:rPr>
                <w:rFonts w:hint="eastAsia" w:ascii="宋体" w:hAnsi="宋体" w:cs="宋体"/>
                <w:highlight w:val="none"/>
              </w:rPr>
              <w:t>7、凭证录入修改：支持凭证录入界面实现科目、项目、往来账目的查询功能并支持跨年度查询。满足得3分，不满足不得分。（需提供真实环境下的演示视频，不得使用截图，否则不得分）。</w:t>
            </w:r>
          </w:p>
          <w:p>
            <w:pPr>
              <w:rPr>
                <w:rFonts w:ascii="宋体" w:hAnsi="宋体" w:cs="宋体"/>
                <w:highlight w:val="none"/>
              </w:rPr>
            </w:pPr>
            <w:r>
              <w:rPr>
                <w:rFonts w:hint="eastAsia" w:ascii="宋体" w:hAnsi="宋体" w:cs="宋体"/>
                <w:highlight w:val="none"/>
              </w:rPr>
              <w:t>8、支持所有查询界面所见即所得功能，即可导出Excel。满足得3分，不满足不得分。（需提供真实环境下的演示视频，不得使用截图，否则不得分）。</w:t>
            </w:r>
          </w:p>
          <w:p>
            <w:pPr>
              <w:rPr>
                <w:rFonts w:ascii="宋体" w:hAnsi="宋体" w:cs="宋体"/>
                <w:highlight w:val="none"/>
              </w:rPr>
            </w:pPr>
            <w:r>
              <w:rPr>
                <w:rFonts w:hint="eastAsia" w:ascii="宋体" w:hAnsi="宋体" w:cs="宋体"/>
                <w:highlight w:val="none"/>
              </w:rPr>
              <w:t>9、酬金网上申报：通过财务网站实现校内各个部门酬金发放数据的网上申报。提供网上单笔录入功能、网上excel导入数据方式、搜索录入、提供网上历史清单导入数据方式。满足得3分，不满足不得分。（需提供真实环境下的演示视频，不得使用截图，否则不得分）。</w:t>
            </w:r>
          </w:p>
        </w:tc>
        <w:tc>
          <w:tcPr>
            <w:tcW w:w="7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727" w:type="dxa"/>
            <w:vMerge w:val="restart"/>
            <w:tcBorders>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6</w:t>
            </w:r>
          </w:p>
        </w:tc>
        <w:tc>
          <w:tcPr>
            <w:tcW w:w="975" w:type="dxa"/>
            <w:vMerge w:val="restart"/>
            <w:tcBorders>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企业实力</w:t>
            </w:r>
          </w:p>
        </w:tc>
        <w:tc>
          <w:tcPr>
            <w:tcW w:w="56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highlight w:val="none"/>
                <w:lang w:val="en-GB"/>
              </w:rPr>
            </w:pPr>
            <w:r>
              <w:rPr>
                <w:rFonts w:hint="eastAsia" w:ascii="宋体" w:hAnsi="宋体" w:cs="宋体"/>
                <w:highlight w:val="none"/>
                <w:lang w:bidi="ar"/>
              </w:rPr>
              <w:t>根据投标人所投的同类项目近3年（2021年2月1日-截止投标之日）以来在国内的同类项目业绩进行打分，每提供1份同类项目合同业绩得2分，最多得10分（以上提供有效证明材料复印件并加盖公章，原件备查）。</w:t>
            </w:r>
            <w:r>
              <w:rPr>
                <w:rFonts w:hint="eastAsia" w:ascii="宋体" w:hAnsi="宋体" w:cs="宋体"/>
                <w:highlight w:val="none"/>
              </w:rPr>
              <w:t xml:space="preserve"> </w:t>
            </w:r>
          </w:p>
        </w:tc>
        <w:tc>
          <w:tcPr>
            <w:tcW w:w="7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lang w:bidi="ar"/>
              </w:rPr>
            </w:pPr>
            <w:r>
              <w:rPr>
                <w:rFonts w:hint="eastAsia" w:ascii="宋体" w:hAnsi="宋体" w:cs="宋体"/>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727" w:type="dxa"/>
            <w:vMerge w:val="continue"/>
            <w:tcBorders>
              <w:left w:val="single" w:color="auto" w:sz="4" w:space="0"/>
              <w:right w:val="single" w:color="auto" w:sz="4" w:space="0"/>
            </w:tcBorders>
            <w:vAlign w:val="center"/>
          </w:tcPr>
          <w:p>
            <w:pPr>
              <w:jc w:val="center"/>
              <w:rPr>
                <w:rFonts w:ascii="宋体" w:hAnsi="宋体" w:cs="宋体"/>
                <w:highlight w:val="none"/>
              </w:rPr>
            </w:pPr>
          </w:p>
        </w:tc>
        <w:tc>
          <w:tcPr>
            <w:tcW w:w="975" w:type="dxa"/>
            <w:vMerge w:val="continue"/>
            <w:tcBorders>
              <w:left w:val="single" w:color="auto" w:sz="4" w:space="0"/>
              <w:right w:val="single" w:color="auto" w:sz="4" w:space="0"/>
            </w:tcBorders>
            <w:vAlign w:val="center"/>
          </w:tcPr>
          <w:p>
            <w:pPr>
              <w:jc w:val="center"/>
              <w:rPr>
                <w:rFonts w:ascii="宋体" w:hAnsi="宋体" w:cs="宋体"/>
                <w:highlight w:val="none"/>
              </w:rPr>
            </w:pPr>
          </w:p>
        </w:tc>
        <w:tc>
          <w:tcPr>
            <w:tcW w:w="5683"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ascii="宋体" w:hAnsi="宋体" w:cs="宋体"/>
                <w:highlight w:val="none"/>
                <w:lang w:bidi="ar"/>
              </w:rPr>
              <w:t>投标人取得与本项目相关的软件著作权（财务管理软件、工资薪金管理软件、网上查询软件、网上预约报账软件、</w:t>
            </w:r>
            <w:r>
              <w:rPr>
                <w:rFonts w:hint="eastAsia" w:ascii="宋体" w:hAnsi="宋体" w:cs="宋体"/>
                <w:szCs w:val="21"/>
                <w:highlight w:val="none"/>
                <w:lang w:bidi="ar"/>
              </w:rPr>
              <w:t>网上签批软件</w:t>
            </w:r>
            <w:r>
              <w:rPr>
                <w:rFonts w:hint="eastAsia" w:ascii="宋体" w:hAnsi="宋体" w:cs="宋体"/>
                <w:highlight w:val="none"/>
                <w:lang w:bidi="ar"/>
              </w:rPr>
              <w:t>），每提供1个得1分，最高得5分。需要提供证书扫描件并加盖公章，未提供或提供不符合要求不得分。</w:t>
            </w:r>
          </w:p>
        </w:tc>
        <w:tc>
          <w:tcPr>
            <w:tcW w:w="7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lang w:bidi="ar"/>
              </w:rPr>
            </w:pPr>
            <w:r>
              <w:rPr>
                <w:rFonts w:hint="eastAsia" w:ascii="宋体" w:hAnsi="宋体" w:cs="宋体"/>
                <w:highlight w:val="none"/>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727" w:type="dxa"/>
            <w:tcBorders>
              <w:left w:val="single" w:color="auto" w:sz="4" w:space="0"/>
              <w:right w:val="single" w:color="auto" w:sz="4" w:space="0"/>
            </w:tcBorders>
            <w:vAlign w:val="center"/>
          </w:tcPr>
          <w:p>
            <w:pPr>
              <w:jc w:val="center"/>
              <w:rPr>
                <w:rFonts w:ascii="宋体" w:hAnsi="宋体" w:cs="宋体"/>
                <w:highlight w:val="none"/>
              </w:rPr>
            </w:pPr>
            <w:r>
              <w:rPr>
                <w:rFonts w:hint="eastAsia" w:ascii="宋体" w:hAnsi="宋体" w:cs="宋体"/>
                <w:highlight w:val="none"/>
              </w:rPr>
              <w:t>7</w:t>
            </w:r>
          </w:p>
        </w:tc>
        <w:tc>
          <w:tcPr>
            <w:tcW w:w="975" w:type="dxa"/>
            <w:tcBorders>
              <w:left w:val="single" w:color="auto" w:sz="4" w:space="0"/>
              <w:right w:val="single" w:color="auto" w:sz="4" w:space="0"/>
            </w:tcBorders>
            <w:shd w:val="clear" w:color="auto" w:fill="auto"/>
            <w:vAlign w:val="center"/>
          </w:tcPr>
          <w:p>
            <w:pPr>
              <w:rPr>
                <w:rFonts w:ascii="宋体" w:hAnsi="宋体" w:cs="宋体"/>
                <w:highlight w:val="none"/>
              </w:rPr>
            </w:pPr>
            <w:r>
              <w:rPr>
                <w:rFonts w:hint="eastAsia" w:ascii="宋体" w:hAnsi="宋体" w:cs="宋体"/>
                <w:highlight w:val="none"/>
              </w:rPr>
              <w:t>人员配备</w:t>
            </w:r>
          </w:p>
        </w:tc>
        <w:tc>
          <w:tcPr>
            <w:tcW w:w="56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 xml:space="preserve">本项目要求投标人配备专业的开发团队，拟派1名项目经理作为项目负责人。 </w:t>
            </w:r>
          </w:p>
          <w:p>
            <w:pPr>
              <w:rPr>
                <w:rFonts w:ascii="宋体" w:hAnsi="宋体" w:cs="宋体"/>
                <w:highlight w:val="none"/>
              </w:rPr>
            </w:pPr>
            <w:r>
              <w:rPr>
                <w:rFonts w:hint="eastAsia" w:ascii="宋体" w:hAnsi="宋体" w:cs="宋体"/>
                <w:highlight w:val="none"/>
              </w:rPr>
              <w:t xml:space="preserve">①项目经理（1名）：投标人拟派项目经理具有项目经理资格认证证书的，提供一份有效的证书复印件并加盖公章得1分（须提供投标人为其缴纳的近6个月社保证明，否则不得分）。 </w:t>
            </w:r>
          </w:p>
          <w:p>
            <w:pPr>
              <w:rPr>
                <w:rFonts w:ascii="宋体" w:hAnsi="宋体" w:cs="宋体"/>
                <w:highlight w:val="none"/>
              </w:rPr>
            </w:pPr>
            <w:r>
              <w:rPr>
                <w:rFonts w:hint="eastAsia" w:ascii="宋体" w:hAnsi="宋体" w:cs="宋体"/>
                <w:highlight w:val="none"/>
              </w:rPr>
              <w:t>②拟投入的人员（除项目经理外）：投标人拟派项目团队人员具有信息系统项目管理师（高级）资格证书的，每提供一份有效的证书复印件并加盖公章得1分（须提供投标人为其缴纳的近6个月社保证明，否则不得分）。本项最高得2分。未提供不得分。</w:t>
            </w:r>
          </w:p>
        </w:tc>
        <w:tc>
          <w:tcPr>
            <w:tcW w:w="7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3</w:t>
            </w:r>
          </w:p>
        </w:tc>
      </w:tr>
    </w:tbl>
    <w:p>
      <w:pPr>
        <w:snapToGrid w:val="0"/>
        <w:spacing w:line="480" w:lineRule="exact"/>
        <w:ind w:firstLine="570"/>
        <w:rPr>
          <w:rFonts w:ascii="Times New Roman"/>
          <w:bCs/>
          <w:szCs w:val="24"/>
          <w:highlight w:val="none"/>
        </w:rPr>
      </w:pPr>
      <w:r>
        <w:rPr>
          <w:rFonts w:ascii="Times New Roman"/>
          <w:b/>
          <w:szCs w:val="24"/>
          <w:highlight w:val="none"/>
        </w:rPr>
        <w:t xml:space="preserve"> （四）</w:t>
      </w:r>
      <w:r>
        <w:rPr>
          <w:rFonts w:ascii="Times New Roman"/>
          <w:b/>
          <w:szCs w:val="24"/>
          <w:highlight w:val="none"/>
          <w:lang w:val="zh-CN"/>
        </w:rPr>
        <w:t>价格分</w:t>
      </w:r>
      <w:r>
        <w:rPr>
          <w:rFonts w:ascii="Times New Roman"/>
          <w:b/>
          <w:szCs w:val="24"/>
          <w:highlight w:val="none"/>
        </w:rPr>
        <w:t>：</w:t>
      </w:r>
      <w:r>
        <w:rPr>
          <w:rFonts w:hint="eastAsia" w:ascii="Times New Roman"/>
          <w:bCs/>
          <w:szCs w:val="24"/>
          <w:highlight w:val="none"/>
          <w:u w:val="single"/>
          <w:lang w:val="en-US" w:eastAsia="zh-CN"/>
        </w:rPr>
        <w:t>3</w:t>
      </w:r>
      <w:r>
        <w:rPr>
          <w:rFonts w:hint="eastAsia" w:ascii="Times New Roman"/>
          <w:bCs/>
          <w:szCs w:val="24"/>
          <w:highlight w:val="none"/>
          <w:u w:val="single"/>
        </w:rPr>
        <w:t>0</w:t>
      </w:r>
      <w:r>
        <w:rPr>
          <w:rFonts w:ascii="Times New Roman"/>
          <w:bCs/>
          <w:szCs w:val="24"/>
          <w:highlight w:val="none"/>
          <w:lang w:val="zh-CN"/>
        </w:rPr>
        <w:t>分</w:t>
      </w:r>
    </w:p>
    <w:p>
      <w:pPr>
        <w:adjustRightInd w:val="0"/>
        <w:snapToGrid w:val="0"/>
        <w:spacing w:line="500" w:lineRule="exact"/>
        <w:ind w:firstLine="480" w:firstLineChars="200"/>
        <w:rPr>
          <w:rFonts w:ascii="Times New Roman"/>
          <w:szCs w:val="24"/>
          <w:highlight w:val="none"/>
        </w:rPr>
      </w:pPr>
      <w:r>
        <w:rPr>
          <w:rFonts w:ascii="Times New Roman"/>
          <w:szCs w:val="24"/>
          <w:highlight w:val="none"/>
        </w:rPr>
        <w:t>价格分统一采用低价优先法计算，即满足招标文件要求且投标价格最低的投标报价为评标基准价，其价格分为满分。其他投标人的价格分统一按照下列公式计算：</w:t>
      </w:r>
    </w:p>
    <w:p>
      <w:pPr>
        <w:adjustRightInd w:val="0"/>
        <w:snapToGrid w:val="0"/>
        <w:spacing w:line="500" w:lineRule="exact"/>
        <w:ind w:firstLine="480" w:firstLineChars="200"/>
        <w:rPr>
          <w:rFonts w:ascii="Times New Roman"/>
          <w:szCs w:val="24"/>
          <w:highlight w:val="none"/>
        </w:rPr>
      </w:pPr>
      <w:r>
        <w:rPr>
          <w:rFonts w:ascii="Times New Roman"/>
          <w:szCs w:val="24"/>
          <w:highlight w:val="none"/>
        </w:rPr>
        <w:t>投标报价得分=（评标基准价/投标报价）×价格权值×100</w:t>
      </w:r>
    </w:p>
    <w:p>
      <w:pPr>
        <w:snapToGrid w:val="0"/>
        <w:spacing w:line="480" w:lineRule="exact"/>
        <w:ind w:firstLine="570"/>
        <w:rPr>
          <w:rFonts w:ascii="Times New Roman"/>
          <w:b/>
          <w:szCs w:val="24"/>
          <w:highlight w:val="none"/>
        </w:rPr>
      </w:pPr>
      <w:r>
        <w:rPr>
          <w:rFonts w:ascii="Times New Roman"/>
          <w:b/>
          <w:szCs w:val="24"/>
          <w:highlight w:val="none"/>
        </w:rPr>
        <w:t>（</w:t>
      </w:r>
      <w:r>
        <w:rPr>
          <w:rFonts w:hint="eastAsia" w:ascii="Times New Roman"/>
          <w:b/>
          <w:szCs w:val="24"/>
          <w:highlight w:val="none"/>
          <w:lang w:val="en-US" w:eastAsia="zh-CN"/>
        </w:rPr>
        <w:t>五</w:t>
      </w:r>
      <w:r>
        <w:rPr>
          <w:rFonts w:ascii="Times New Roman"/>
          <w:b/>
          <w:szCs w:val="24"/>
          <w:highlight w:val="none"/>
        </w:rPr>
        <w:t>）中标人的确定</w:t>
      </w:r>
    </w:p>
    <w:p>
      <w:pPr>
        <w:snapToGrid w:val="0"/>
        <w:spacing w:line="480" w:lineRule="exact"/>
        <w:ind w:firstLine="570"/>
        <w:rPr>
          <w:rFonts w:ascii="Times New Roman"/>
          <w:bCs/>
          <w:highlight w:val="none"/>
        </w:rPr>
      </w:pPr>
      <w:r>
        <w:rPr>
          <w:rFonts w:ascii="Times New Roman"/>
          <w:bCs/>
          <w:highlight w:val="none"/>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snapToGrid w:val="0"/>
        <w:spacing w:line="480" w:lineRule="exact"/>
        <w:ind w:firstLine="570"/>
        <w:rPr>
          <w:rFonts w:ascii="Times New Roman"/>
          <w:bCs/>
          <w:highlight w:val="none"/>
        </w:rPr>
      </w:pPr>
      <w:r>
        <w:rPr>
          <w:rFonts w:ascii="Times New Roman"/>
          <w:bCs/>
          <w:highlight w:val="none"/>
        </w:rPr>
        <w:t>评委对中标候选人报价总表和明细表进行审核，应审核供应商投标报价是否前后一致、大小写金额是否一致、总价金额与单价汇总金额是否一致。对过高过低报价的并作为中标候选人的，应重点审核报价明细表</w:t>
      </w:r>
      <w:r>
        <w:rPr>
          <w:rFonts w:hint="eastAsia" w:ascii="Times New Roman"/>
          <w:bCs/>
          <w:highlight w:val="none"/>
        </w:rPr>
        <w:t>是</w:t>
      </w:r>
      <w:r>
        <w:rPr>
          <w:rFonts w:ascii="Times New Roman"/>
          <w:bCs/>
          <w:highlight w:val="none"/>
        </w:rPr>
        <w:t>否</w:t>
      </w:r>
      <w:r>
        <w:rPr>
          <w:rFonts w:hint="eastAsia" w:ascii="Times New Roman"/>
          <w:bCs/>
          <w:highlight w:val="none"/>
        </w:rPr>
        <w:t>有</w:t>
      </w:r>
      <w:r>
        <w:rPr>
          <w:rFonts w:ascii="Times New Roman"/>
          <w:bCs/>
          <w:highlight w:val="none"/>
        </w:rPr>
        <w:t>重大重复报价或漏项报价等情况，一经发现，现场请中标候选人予以澄清，明显过错或不能澄清的，经超半数以上评委认定，有权取消供应商中标候选人资格。</w:t>
      </w:r>
    </w:p>
    <w:p>
      <w:pPr>
        <w:adjustRightInd w:val="0"/>
        <w:snapToGrid w:val="0"/>
        <w:spacing w:line="500" w:lineRule="exact"/>
        <w:ind w:firstLine="570"/>
        <w:rPr>
          <w:rFonts w:ascii="Times New Roman"/>
          <w:szCs w:val="24"/>
          <w:highlight w:val="none"/>
        </w:rPr>
      </w:pPr>
      <w:r>
        <w:rPr>
          <w:rFonts w:ascii="Times New Roman"/>
          <w:szCs w:val="24"/>
          <w:highlight w:val="none"/>
        </w:rPr>
        <w:t>评委会汇总各评委评分后，按照得分从高到低的顺序推荐三名中标候选人，并编写评标报告。</w:t>
      </w:r>
    </w:p>
    <w:p>
      <w:pPr>
        <w:adjustRightInd w:val="0"/>
        <w:snapToGrid w:val="0"/>
        <w:spacing w:line="500" w:lineRule="exact"/>
        <w:ind w:firstLine="570"/>
        <w:rPr>
          <w:rFonts w:ascii="Times New Roman"/>
          <w:bCs/>
          <w:szCs w:val="24"/>
          <w:highlight w:val="none"/>
        </w:rPr>
      </w:pPr>
      <w:r>
        <w:rPr>
          <w:rFonts w:ascii="Times New Roman"/>
          <w:b/>
          <w:szCs w:val="24"/>
          <w:highlight w:val="none"/>
        </w:rPr>
        <w:t>采购人委托评委会</w:t>
      </w:r>
      <w:r>
        <w:rPr>
          <w:rFonts w:ascii="Times New Roman"/>
          <w:bCs/>
          <w:szCs w:val="24"/>
          <w:highlight w:val="none"/>
        </w:rPr>
        <w:t>在评标报告确定的中标候选人名单中按顺序确定中标人。中标候选人并列的，由采购人或者采购人委托评标委员会按照现场抽签方式确定中标人。</w:t>
      </w:r>
    </w:p>
    <w:p>
      <w:pPr>
        <w:snapToGrid w:val="0"/>
        <w:spacing w:line="480" w:lineRule="exact"/>
        <w:ind w:firstLine="570"/>
        <w:rPr>
          <w:rFonts w:ascii="Times New Roman"/>
          <w:b/>
          <w:szCs w:val="24"/>
          <w:highlight w:val="none"/>
        </w:rPr>
      </w:pPr>
      <w:r>
        <w:rPr>
          <w:rFonts w:ascii="Times New Roman"/>
          <w:b/>
          <w:szCs w:val="24"/>
          <w:highlight w:val="none"/>
        </w:rPr>
        <w:t>（</w:t>
      </w:r>
      <w:r>
        <w:rPr>
          <w:rFonts w:hint="eastAsia" w:ascii="Times New Roman"/>
          <w:b/>
          <w:szCs w:val="24"/>
          <w:highlight w:val="none"/>
          <w:lang w:val="en-US" w:eastAsia="zh-CN"/>
        </w:rPr>
        <w:t>六</w:t>
      </w:r>
      <w:r>
        <w:rPr>
          <w:rFonts w:ascii="Times New Roman"/>
          <w:b/>
          <w:szCs w:val="24"/>
          <w:highlight w:val="none"/>
        </w:rPr>
        <w:t>）采购代理机构宣布评标结果。</w:t>
      </w:r>
    </w:p>
    <w:p>
      <w:pPr>
        <w:snapToGrid w:val="0"/>
        <w:spacing w:line="480" w:lineRule="exact"/>
        <w:ind w:firstLine="570"/>
        <w:rPr>
          <w:rFonts w:ascii="Times New Roman"/>
          <w:b/>
          <w:szCs w:val="24"/>
          <w:highlight w:val="none"/>
        </w:rPr>
      </w:pPr>
      <w:r>
        <w:rPr>
          <w:rFonts w:ascii="Times New Roman"/>
          <w:b/>
          <w:szCs w:val="24"/>
          <w:highlight w:val="none"/>
        </w:rPr>
        <w:t>（</w:t>
      </w:r>
      <w:r>
        <w:rPr>
          <w:rFonts w:hint="eastAsia" w:ascii="Times New Roman"/>
          <w:b/>
          <w:szCs w:val="24"/>
          <w:highlight w:val="none"/>
          <w:lang w:val="en-US" w:eastAsia="zh-CN"/>
        </w:rPr>
        <w:t>七</w:t>
      </w:r>
      <w:r>
        <w:rPr>
          <w:rFonts w:ascii="Times New Roman"/>
          <w:b/>
          <w:szCs w:val="24"/>
          <w:highlight w:val="none"/>
        </w:rPr>
        <w:t>）公告中标结果</w:t>
      </w:r>
    </w:p>
    <w:p>
      <w:pPr>
        <w:snapToGrid w:val="0"/>
        <w:spacing w:line="480" w:lineRule="exact"/>
        <w:ind w:firstLine="570"/>
        <w:rPr>
          <w:rFonts w:ascii="Times New Roman"/>
          <w:b/>
          <w:szCs w:val="24"/>
          <w:highlight w:val="none"/>
        </w:rPr>
      </w:pPr>
      <w:r>
        <w:rPr>
          <w:rFonts w:ascii="Times New Roman"/>
          <w:szCs w:val="24"/>
          <w:highlight w:val="none"/>
        </w:rPr>
        <w:t>自确定中标人之日起2个工作日内，在</w:t>
      </w:r>
      <w:r>
        <w:rPr>
          <w:rFonts w:hint="eastAsia" w:ascii="Times New Roman"/>
          <w:szCs w:val="24"/>
          <w:highlight w:val="none"/>
          <w:lang w:eastAsia="zh-CN"/>
        </w:rPr>
        <w:t>东南大学南通海洋高等研究院官网</w:t>
      </w:r>
      <w:r>
        <w:rPr>
          <w:rFonts w:ascii="Times New Roman"/>
          <w:szCs w:val="24"/>
          <w:highlight w:val="none"/>
        </w:rPr>
        <w:t>公告中标结果，公告期限为1个工作日。</w:t>
      </w:r>
    </w:p>
    <w:p>
      <w:pPr>
        <w:snapToGrid w:val="0"/>
        <w:spacing w:line="480" w:lineRule="exact"/>
        <w:ind w:firstLine="570"/>
        <w:rPr>
          <w:rFonts w:ascii="Times New Roman"/>
          <w:b/>
          <w:szCs w:val="24"/>
          <w:highlight w:val="none"/>
        </w:rPr>
      </w:pPr>
      <w:r>
        <w:rPr>
          <w:rFonts w:ascii="Times New Roman"/>
          <w:b/>
          <w:szCs w:val="24"/>
          <w:highlight w:val="none"/>
        </w:rPr>
        <w:t>（八）发放中标通知书</w:t>
      </w:r>
    </w:p>
    <w:p>
      <w:pPr>
        <w:snapToGrid w:val="0"/>
        <w:spacing w:line="480" w:lineRule="exact"/>
        <w:ind w:firstLine="480" w:firstLineChars="200"/>
        <w:contextualSpacing/>
        <w:rPr>
          <w:rFonts w:ascii="Times New Roman"/>
          <w:szCs w:val="24"/>
          <w:highlight w:val="none"/>
          <w:u w:val="single"/>
        </w:rPr>
      </w:pPr>
      <w:r>
        <w:rPr>
          <w:rFonts w:ascii="Times New Roman"/>
          <w:szCs w:val="24"/>
          <w:highlight w:val="none"/>
        </w:rPr>
        <w:t>中标通知书发放条件和途径：中标结果公告公示期结束后，供应商可至代理单位领取中标通知书。领取地址：</w:t>
      </w:r>
      <w:r>
        <w:rPr>
          <w:rFonts w:hint="eastAsia" w:hAnsi="宋体"/>
          <w:highlight w:val="none"/>
          <w:u w:val="single"/>
        </w:rPr>
        <w:t>江苏省南通市桃坞路2号友谊大厦</w:t>
      </w:r>
      <w:r>
        <w:rPr>
          <w:rFonts w:hint="eastAsia" w:hAnsi="宋体"/>
          <w:highlight w:val="none"/>
          <w:u w:val="single"/>
          <w:lang w:val="en-US" w:eastAsia="zh-CN"/>
        </w:rPr>
        <w:t>10</w:t>
      </w:r>
      <w:r>
        <w:rPr>
          <w:rFonts w:hint="eastAsia" w:hAnsi="宋体"/>
          <w:highlight w:val="none"/>
          <w:u w:val="single"/>
        </w:rPr>
        <w:t>楼</w:t>
      </w:r>
      <w:r>
        <w:rPr>
          <w:rFonts w:ascii="Times New Roman"/>
          <w:szCs w:val="24"/>
          <w:highlight w:val="none"/>
        </w:rPr>
        <w:t>，电话：</w:t>
      </w:r>
      <w:r>
        <w:rPr>
          <w:rFonts w:hint="eastAsia" w:hAnsi="宋体"/>
          <w:highlight w:val="none"/>
          <w:u w:val="single"/>
        </w:rPr>
        <w:t>18012240098</w:t>
      </w:r>
      <w:r>
        <w:rPr>
          <w:rFonts w:ascii="Times New Roman"/>
          <w:szCs w:val="24"/>
          <w:highlight w:val="none"/>
          <w:u w:val="single"/>
        </w:rPr>
        <w:t>。</w:t>
      </w:r>
    </w:p>
    <w:p>
      <w:pPr>
        <w:adjustRightInd w:val="0"/>
        <w:snapToGrid w:val="0"/>
        <w:spacing w:line="500" w:lineRule="exact"/>
        <w:ind w:firstLine="570"/>
        <w:rPr>
          <w:rFonts w:ascii="Times New Roman"/>
          <w:szCs w:val="24"/>
          <w:highlight w:val="none"/>
        </w:rPr>
      </w:pPr>
      <w:r>
        <w:rPr>
          <w:rFonts w:ascii="Times New Roman"/>
          <w:szCs w:val="24"/>
          <w:highlight w:val="none"/>
        </w:rPr>
        <w:t>中标通知书发出后，采购人不得违法改变中标结果，中标供应商无正当理由不得放弃中标。</w:t>
      </w:r>
    </w:p>
    <w:p>
      <w:pPr>
        <w:snapToGrid w:val="0"/>
        <w:spacing w:line="480" w:lineRule="exact"/>
        <w:ind w:firstLine="477" w:firstLineChars="198"/>
        <w:rPr>
          <w:rFonts w:ascii="Times New Roman"/>
          <w:b/>
          <w:highlight w:val="none"/>
        </w:rPr>
      </w:pPr>
      <w:r>
        <w:rPr>
          <w:rFonts w:ascii="Times New Roman"/>
          <w:b/>
          <w:highlight w:val="none"/>
        </w:rPr>
        <w:t>八、其他注意事项</w:t>
      </w:r>
    </w:p>
    <w:p>
      <w:pPr>
        <w:snapToGrid w:val="0"/>
        <w:spacing w:line="480" w:lineRule="exact"/>
        <w:ind w:firstLine="570"/>
        <w:rPr>
          <w:rFonts w:ascii="Times New Roman"/>
          <w:highlight w:val="none"/>
        </w:rPr>
      </w:pPr>
      <w:r>
        <w:rPr>
          <w:rFonts w:ascii="Times New Roman"/>
          <w:highlight w:val="none"/>
        </w:rPr>
        <w:t>1、在投标、开标时间，投标人不得向评委询问情况，不得进行旨在影响评标结果的活动。</w:t>
      </w:r>
    </w:p>
    <w:p>
      <w:pPr>
        <w:snapToGrid w:val="0"/>
        <w:spacing w:line="480" w:lineRule="exact"/>
        <w:ind w:firstLine="570"/>
        <w:rPr>
          <w:rFonts w:ascii="Times New Roman"/>
          <w:highlight w:val="none"/>
        </w:rPr>
      </w:pPr>
      <w:r>
        <w:rPr>
          <w:rFonts w:ascii="Times New Roman"/>
          <w:highlight w:val="none"/>
        </w:rPr>
        <w:t>2、评委会不得向投标人解释落标原因。</w:t>
      </w:r>
    </w:p>
    <w:p>
      <w:pPr>
        <w:snapToGrid w:val="0"/>
        <w:spacing w:line="480" w:lineRule="exact"/>
        <w:ind w:firstLine="570"/>
        <w:rPr>
          <w:rFonts w:ascii="Times New Roman"/>
          <w:highlight w:val="none"/>
        </w:rPr>
      </w:pPr>
      <w:r>
        <w:rPr>
          <w:rFonts w:ascii="Times New Roman"/>
          <w:highlight w:val="none"/>
        </w:rPr>
        <w:t>3、在投标、评标过程中，如果投标人联合故意抬高报价或出现其他不正当行为，采购人有权中止投标或评标。</w:t>
      </w:r>
    </w:p>
    <w:p>
      <w:pPr>
        <w:snapToGrid w:val="0"/>
        <w:spacing w:line="480" w:lineRule="exact"/>
        <w:ind w:firstLine="570"/>
        <w:rPr>
          <w:rFonts w:ascii="Times New Roman"/>
          <w:highlight w:val="none"/>
        </w:rPr>
      </w:pPr>
      <w:r>
        <w:rPr>
          <w:rFonts w:ascii="Times New Roman"/>
          <w:highlight w:val="none"/>
        </w:rPr>
        <w:t>4、凡在投标、开标过程中，已提示是否异议的事项，投标人当时没有提出异议的，事后不得针对上述事项提出质疑。</w:t>
      </w:r>
    </w:p>
    <w:p>
      <w:pPr>
        <w:adjustRightInd w:val="0"/>
        <w:snapToGrid w:val="0"/>
        <w:spacing w:line="500" w:lineRule="exact"/>
        <w:ind w:firstLine="477" w:firstLineChars="198"/>
        <w:rPr>
          <w:rFonts w:ascii="Times New Roman"/>
          <w:b/>
          <w:szCs w:val="24"/>
          <w:highlight w:val="none"/>
        </w:rPr>
        <w:sectPr>
          <w:footerReference r:id="rId3" w:type="default"/>
          <w:pgSz w:w="11906" w:h="16838"/>
          <w:pgMar w:top="1418" w:right="1474" w:bottom="1418" w:left="1474" w:header="851" w:footer="907" w:gutter="0"/>
          <w:cols w:space="720" w:num="1"/>
          <w:docGrid w:type="lines" w:linePitch="312" w:charSpace="0"/>
        </w:sectPr>
      </w:pPr>
    </w:p>
    <w:p>
      <w:pPr>
        <w:snapToGrid w:val="0"/>
        <w:spacing w:line="300" w:lineRule="auto"/>
        <w:jc w:val="center"/>
        <w:outlineLvl w:val="0"/>
        <w:rPr>
          <w:rFonts w:ascii="Times New Roman"/>
          <w:b/>
          <w:sz w:val="36"/>
          <w:szCs w:val="36"/>
          <w:highlight w:val="none"/>
        </w:rPr>
      </w:pPr>
      <w:r>
        <w:rPr>
          <w:rFonts w:ascii="Times New Roman"/>
          <w:b/>
          <w:sz w:val="36"/>
          <w:szCs w:val="36"/>
          <w:highlight w:val="none"/>
        </w:rPr>
        <w:t>第五部分  合同签订与验收付款</w:t>
      </w:r>
    </w:p>
    <w:p>
      <w:pPr>
        <w:snapToGrid w:val="0"/>
        <w:spacing w:line="300" w:lineRule="auto"/>
        <w:jc w:val="center"/>
        <w:rPr>
          <w:rFonts w:ascii="Times New Roman"/>
          <w:sz w:val="28"/>
          <w:szCs w:val="28"/>
          <w:highlight w:val="none"/>
        </w:rPr>
      </w:pPr>
    </w:p>
    <w:p>
      <w:pPr>
        <w:snapToGrid w:val="0"/>
        <w:spacing w:line="480" w:lineRule="exact"/>
        <w:ind w:firstLine="480" w:firstLineChars="200"/>
        <w:rPr>
          <w:sz w:val="24"/>
          <w:szCs w:val="24"/>
          <w:highlight w:val="none"/>
          <w:lang w:val="zh-CN"/>
        </w:rPr>
      </w:pPr>
      <w:r>
        <w:rPr>
          <w:sz w:val="24"/>
          <w:szCs w:val="24"/>
          <w:highlight w:val="none"/>
          <w:lang w:val="zh-CN"/>
        </w:rPr>
        <w:t>一、成交供应商和采购单位</w:t>
      </w:r>
      <w:r>
        <w:rPr>
          <w:rFonts w:hint="eastAsia" w:ascii="宋体" w:hAnsi="宋体"/>
          <w:sz w:val="24"/>
          <w:szCs w:val="24"/>
          <w:highlight w:val="none"/>
        </w:rPr>
        <w:t>需在</w:t>
      </w:r>
      <w:r>
        <w:rPr>
          <w:sz w:val="24"/>
          <w:szCs w:val="24"/>
          <w:highlight w:val="none"/>
          <w:lang w:val="zh-CN"/>
        </w:rPr>
        <w:t>《成交通知书》</w:t>
      </w:r>
      <w:r>
        <w:rPr>
          <w:rFonts w:hint="eastAsia"/>
          <w:sz w:val="24"/>
          <w:szCs w:val="24"/>
          <w:highlight w:val="none"/>
        </w:rPr>
        <w:t>发出之日起30日内</w:t>
      </w:r>
      <w:r>
        <w:rPr>
          <w:rFonts w:hint="eastAsia" w:ascii="宋体" w:hAnsi="宋体"/>
          <w:sz w:val="24"/>
          <w:szCs w:val="24"/>
          <w:highlight w:val="none"/>
        </w:rPr>
        <w:t>签订合同</w:t>
      </w:r>
      <w:r>
        <w:rPr>
          <w:sz w:val="24"/>
          <w:szCs w:val="24"/>
          <w:highlight w:val="none"/>
          <w:lang w:val="zh-CN"/>
        </w:rPr>
        <w:t>。合同签订后成交供应商方可履约，否则引起的一切后果由成交人自行承担。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szCs w:val="24"/>
          <w:highlight w:val="none"/>
        </w:rPr>
      </w:pPr>
      <w:r>
        <w:rPr>
          <w:b/>
          <w:sz w:val="24"/>
          <w:szCs w:val="24"/>
          <w:highlight w:val="none"/>
        </w:rPr>
        <w:t>二</w:t>
      </w:r>
      <w:r>
        <w:rPr>
          <w:sz w:val="24"/>
          <w:szCs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szCs w:val="24"/>
          <w:highlight w:val="none"/>
        </w:rPr>
      </w:pPr>
      <w:r>
        <w:rPr>
          <w:sz w:val="24"/>
          <w:szCs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szCs w:val="24"/>
          <w:highlight w:val="none"/>
        </w:rPr>
      </w:pPr>
      <w:r>
        <w:rPr>
          <w:sz w:val="24"/>
          <w:szCs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5"/>
        <w:kinsoku w:val="0"/>
        <w:topLinePunct/>
        <w:autoSpaceDE w:val="0"/>
        <w:autoSpaceDN w:val="0"/>
        <w:snapToGrid w:val="0"/>
        <w:spacing w:line="480" w:lineRule="exact"/>
        <w:ind w:right="210" w:firstLine="513" w:firstLineChars="214"/>
        <w:contextualSpacing/>
        <w:rPr>
          <w:b/>
          <w:sz w:val="24"/>
          <w:szCs w:val="24"/>
          <w:highlight w:val="none"/>
        </w:rPr>
      </w:pPr>
      <w:r>
        <w:rPr>
          <w:sz w:val="24"/>
          <w:szCs w:val="24"/>
          <w:highlight w:val="none"/>
          <w:lang w:val="zh-CN"/>
        </w:rPr>
        <w:t>五、</w:t>
      </w:r>
      <w:r>
        <w:rPr>
          <w:b/>
          <w:sz w:val="24"/>
          <w:szCs w:val="24"/>
          <w:highlight w:val="none"/>
        </w:rPr>
        <w:t>不响应付款方式的，视同响应文件无效处理。</w:t>
      </w:r>
      <w:r>
        <w:rPr>
          <w:rFonts w:hint="eastAsia"/>
          <w:b/>
          <w:sz w:val="24"/>
          <w:szCs w:val="24"/>
          <w:highlight w:val="none"/>
        </w:rPr>
        <w:t>实际付款方式以最终签订采购合同为准。</w:t>
      </w:r>
    </w:p>
    <w:p>
      <w:pPr>
        <w:pStyle w:val="5"/>
        <w:kinsoku w:val="0"/>
        <w:topLinePunct/>
        <w:autoSpaceDE w:val="0"/>
        <w:autoSpaceDN w:val="0"/>
        <w:snapToGrid w:val="0"/>
        <w:spacing w:line="480" w:lineRule="exact"/>
        <w:ind w:right="210" w:firstLine="480" w:firstLineChars="200"/>
        <w:contextualSpacing/>
        <w:rPr>
          <w:sz w:val="24"/>
          <w:szCs w:val="24"/>
          <w:highlight w:val="none"/>
          <w:lang w:val="zh-CN"/>
        </w:rPr>
      </w:pPr>
      <w:r>
        <w:rPr>
          <w:sz w:val="24"/>
          <w:szCs w:val="24"/>
          <w:highlight w:val="none"/>
        </w:rPr>
        <w:t>款项由采购人按相关财务支付规定办理支付手续。不得故意拖延支付时间。</w:t>
      </w:r>
    </w:p>
    <w:p>
      <w:pPr>
        <w:pStyle w:val="5"/>
        <w:kinsoku w:val="0"/>
        <w:topLinePunct/>
        <w:autoSpaceDE w:val="0"/>
        <w:autoSpaceDN w:val="0"/>
        <w:snapToGrid w:val="0"/>
        <w:spacing w:line="480" w:lineRule="exact"/>
        <w:ind w:right="210" w:firstLine="513" w:firstLineChars="214"/>
        <w:contextualSpacing/>
        <w:rPr>
          <w:sz w:val="24"/>
          <w:szCs w:val="24"/>
          <w:highlight w:val="none"/>
        </w:rPr>
      </w:pPr>
      <w:r>
        <w:rPr>
          <w:rFonts w:hint="eastAsia"/>
          <w:sz w:val="24"/>
          <w:szCs w:val="24"/>
          <w:highlight w:val="none"/>
        </w:rPr>
        <w:t>六、合同主要条款</w:t>
      </w:r>
    </w:p>
    <w:p>
      <w:pPr>
        <w:snapToGrid w:val="0"/>
        <w:spacing w:line="360" w:lineRule="auto"/>
        <w:ind w:firstLine="480" w:firstLineChars="200"/>
        <w:jc w:val="left"/>
        <w:rPr>
          <w:sz w:val="24"/>
          <w:szCs w:val="24"/>
          <w:highlight w:val="none"/>
        </w:rPr>
      </w:pPr>
    </w:p>
    <w:p>
      <w:pPr>
        <w:kinsoku w:val="0"/>
        <w:topLinePunct/>
        <w:autoSpaceDE w:val="0"/>
        <w:autoSpaceDN w:val="0"/>
        <w:snapToGrid w:val="0"/>
        <w:spacing w:line="480" w:lineRule="exact"/>
        <w:ind w:right="210" w:firstLine="599" w:firstLineChars="214"/>
        <w:contextualSpacing/>
        <w:rPr>
          <w:rFonts w:ascii="Times New Roman" w:eastAsia="仿宋_GB2312"/>
          <w:sz w:val="28"/>
          <w:szCs w:val="28"/>
          <w:highlight w:val="none"/>
          <w:lang w:val="zh-CN"/>
        </w:rPr>
      </w:pPr>
    </w:p>
    <w:p>
      <w:pPr>
        <w:adjustRightInd w:val="0"/>
        <w:snapToGrid w:val="0"/>
        <w:spacing w:line="360" w:lineRule="auto"/>
        <w:jc w:val="center"/>
        <w:rPr>
          <w:rFonts w:ascii="宋体" w:hAnsi="宋体" w:cs="宋体"/>
          <w:b/>
          <w:w w:val="80"/>
          <w:kern w:val="44"/>
          <w:sz w:val="36"/>
          <w:szCs w:val="36"/>
          <w:highlight w:val="none"/>
        </w:rPr>
      </w:pPr>
      <w:r>
        <w:rPr>
          <w:rFonts w:ascii="Times New Roman"/>
          <w:b/>
          <w:bCs/>
          <w:w w:val="80"/>
          <w:sz w:val="36"/>
          <w:szCs w:val="36"/>
          <w:highlight w:val="none"/>
        </w:rPr>
        <w:br w:type="page"/>
      </w:r>
      <w:r>
        <w:rPr>
          <w:rFonts w:hint="eastAsia" w:ascii="宋体" w:hAnsi="宋体" w:cs="宋体"/>
          <w:b/>
          <w:w w:val="80"/>
          <w:kern w:val="44"/>
          <w:sz w:val="36"/>
          <w:szCs w:val="36"/>
          <w:highlight w:val="none"/>
        </w:rPr>
        <w:t>政府采购项目</w:t>
      </w:r>
    </w:p>
    <w:p>
      <w:pPr>
        <w:spacing w:line="400" w:lineRule="exact"/>
        <w:jc w:val="center"/>
        <w:rPr>
          <w:rFonts w:ascii="宋体"/>
          <w:b/>
          <w:bCs/>
          <w:sz w:val="36"/>
          <w:szCs w:val="36"/>
          <w:highlight w:val="none"/>
        </w:rPr>
      </w:pPr>
      <w:bookmarkStart w:id="4" w:name="_Toc451664164"/>
      <w:bookmarkStart w:id="5" w:name="_Toc451315906"/>
      <w:bookmarkStart w:id="6" w:name="_Toc434460932"/>
      <w:bookmarkStart w:id="7" w:name="_Toc434462836"/>
      <w:bookmarkStart w:id="8" w:name="_Toc434462225"/>
      <w:bookmarkStart w:id="9" w:name="_Ref451313954"/>
      <w:bookmarkStart w:id="10" w:name="_Ref451243616"/>
      <w:bookmarkStart w:id="11" w:name="_Toc451315989"/>
      <w:bookmarkStart w:id="12" w:name="_Toc434897340"/>
      <w:r>
        <w:rPr>
          <w:rFonts w:hint="eastAsia" w:ascii="宋体" w:hAnsi="宋体" w:cs="宋体"/>
          <w:b/>
          <w:w w:val="80"/>
          <w:kern w:val="44"/>
          <w:sz w:val="36"/>
          <w:szCs w:val="36"/>
          <w:highlight w:val="none"/>
        </w:rPr>
        <w:t>合同书</w:t>
      </w:r>
      <w:bookmarkEnd w:id="4"/>
      <w:bookmarkEnd w:id="5"/>
      <w:bookmarkEnd w:id="6"/>
      <w:bookmarkEnd w:id="7"/>
      <w:bookmarkEnd w:id="8"/>
      <w:bookmarkEnd w:id="9"/>
      <w:bookmarkEnd w:id="10"/>
      <w:bookmarkEnd w:id="11"/>
      <w:bookmarkEnd w:id="12"/>
    </w:p>
    <w:p>
      <w:pPr>
        <w:spacing w:line="360" w:lineRule="auto"/>
        <w:rPr>
          <w:rFonts w:ascii="宋体" w:hAnsi="宋体" w:cs="宋体"/>
          <w:sz w:val="24"/>
          <w:highlight w:val="none"/>
        </w:rPr>
      </w:pPr>
      <w:r>
        <w:rPr>
          <w:rFonts w:hint="eastAsia" w:ascii="宋体" w:hAnsi="宋体" w:cs="宋体"/>
          <w:spacing w:val="46"/>
          <w:sz w:val="24"/>
          <w:highlight w:val="none"/>
        </w:rPr>
        <w:t>采购单</w:t>
      </w:r>
      <w:r>
        <w:rPr>
          <w:rFonts w:hint="eastAsia" w:ascii="宋体" w:hAnsi="宋体" w:cs="宋体"/>
          <w:spacing w:val="2"/>
          <w:sz w:val="24"/>
          <w:highlight w:val="none"/>
        </w:rPr>
        <w:t>位</w:t>
      </w:r>
      <w:r>
        <w:rPr>
          <w:rFonts w:hint="eastAsia" w:ascii="宋体" w:hAnsi="宋体" w:cs="宋体"/>
          <w:sz w:val="24"/>
          <w:highlight w:val="none"/>
        </w:rPr>
        <w:t>（或称甲方）：</w:t>
      </w:r>
    </w:p>
    <w:p>
      <w:pPr>
        <w:spacing w:line="360" w:lineRule="auto"/>
        <w:rPr>
          <w:rFonts w:ascii="宋体" w:hAnsi="宋体" w:cs="宋体"/>
          <w:bCs/>
          <w:sz w:val="24"/>
          <w:highlight w:val="none"/>
        </w:rPr>
      </w:pPr>
      <w:r>
        <w:rPr>
          <w:rFonts w:hint="eastAsia" w:ascii="宋体" w:hAnsi="宋体" w:cs="宋体"/>
          <w:sz w:val="24"/>
          <w:highlight w:val="none"/>
        </w:rPr>
        <w:t>中标供应商（或称乙方）：</w:t>
      </w:r>
    </w:p>
    <w:p>
      <w:pPr>
        <w:spacing w:line="360" w:lineRule="auto"/>
        <w:rPr>
          <w:rFonts w:ascii="宋体" w:hAnsi="宋体" w:cs="宋体"/>
          <w:sz w:val="24"/>
          <w:highlight w:val="none"/>
        </w:rPr>
      </w:pPr>
      <w:r>
        <w:rPr>
          <w:rFonts w:hint="eastAsia" w:ascii="宋体" w:hAnsi="宋体" w:cs="宋体"/>
          <w:sz w:val="24"/>
          <w:highlight w:val="none"/>
        </w:rPr>
        <w:t xml:space="preserve">签订时间：   </w:t>
      </w:r>
      <w:r>
        <w:rPr>
          <w:rFonts w:hint="eastAsia" w:ascii="宋体" w:hAnsi="宋体" w:cs="宋体"/>
          <w:sz w:val="24"/>
          <w:highlight w:val="none"/>
          <w:u w:val="single"/>
        </w:rPr>
        <w:t>年   月   日</w:t>
      </w:r>
    </w:p>
    <w:p>
      <w:pPr>
        <w:spacing w:line="360" w:lineRule="auto"/>
        <w:rPr>
          <w:rFonts w:ascii="宋体" w:hAnsi="宋体" w:cs="宋体"/>
          <w:sz w:val="24"/>
          <w:highlight w:val="none"/>
        </w:rPr>
      </w:pPr>
      <w:r>
        <w:rPr>
          <w:rFonts w:hint="eastAsia" w:ascii="宋体" w:hAnsi="宋体" w:cs="宋体"/>
          <w:sz w:val="24"/>
          <w:highlight w:val="none"/>
        </w:rPr>
        <w:t>签订地点：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根据《政府采购法》、《民法典》及年月日（项目名称）</w:t>
      </w:r>
    </w:p>
    <w:p>
      <w:pPr>
        <w:spacing w:line="360" w:lineRule="auto"/>
        <w:rPr>
          <w:rFonts w:ascii="宋体" w:hAnsi="宋体" w:cs="宋体"/>
          <w:sz w:val="24"/>
          <w:highlight w:val="none"/>
        </w:rPr>
      </w:pPr>
      <w:r>
        <w:rPr>
          <w:rFonts w:hint="eastAsia" w:ascii="宋体" w:hAnsi="宋体" w:cs="宋体"/>
          <w:sz w:val="24"/>
          <w:highlight w:val="none"/>
          <w:u w:val="single"/>
        </w:rPr>
        <w:t>采购</w:t>
      </w:r>
      <w:r>
        <w:rPr>
          <w:rFonts w:hint="eastAsia" w:ascii="宋体" w:hAnsi="宋体" w:cs="宋体"/>
          <w:sz w:val="24"/>
          <w:highlight w:val="none"/>
        </w:rPr>
        <w:t>项目(采购编号：)的采购结果、采购文件及投标文件，经双方协商一致，签订本合同。</w:t>
      </w:r>
    </w:p>
    <w:p>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一、项目概况</w:t>
      </w:r>
    </w:p>
    <w:p>
      <w:pPr>
        <w:adjustRightInd w:val="0"/>
        <w:snapToGrid w:val="0"/>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项目名称：</w:t>
      </w:r>
      <w:r>
        <w:rPr>
          <w:rFonts w:hint="eastAsia"/>
          <w:sz w:val="24"/>
          <w:highlight w:val="none"/>
          <w:u w:val="single"/>
        </w:rPr>
        <w:t>东南大学南通海洋高等研究院财务信息化基础平台建设项目</w:t>
      </w:r>
    </w:p>
    <w:p>
      <w:pPr>
        <w:adjustRightInd w:val="0"/>
        <w:snapToGrid w:val="0"/>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项目地点：</w:t>
      </w:r>
    </w:p>
    <w:p>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二、合同价款与付款方式</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2.1本项目，双方约定合同价款为（大写：人民币）。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2.2、付款方式：合同签订后支付首付款</w:t>
      </w:r>
      <w:r>
        <w:rPr>
          <w:rFonts w:ascii="宋体" w:hAnsi="宋体" w:cs="宋体"/>
          <w:sz w:val="24"/>
          <w:highlight w:val="none"/>
        </w:rPr>
        <w:t>60%</w:t>
      </w:r>
      <w:r>
        <w:rPr>
          <w:rFonts w:hint="eastAsia" w:ascii="宋体" w:hAnsi="宋体" w:cs="宋体"/>
          <w:sz w:val="24"/>
          <w:highlight w:val="none"/>
        </w:rPr>
        <w:t>，项目验收合格后支付</w:t>
      </w:r>
      <w:r>
        <w:rPr>
          <w:rFonts w:ascii="宋体" w:hAnsi="宋体" w:cs="宋体"/>
          <w:sz w:val="24"/>
          <w:highlight w:val="none"/>
        </w:rPr>
        <w:t>35%</w:t>
      </w:r>
      <w:r>
        <w:rPr>
          <w:rFonts w:hint="eastAsia" w:ascii="宋体" w:hAnsi="宋体" w:cs="宋体"/>
          <w:sz w:val="24"/>
          <w:highlight w:val="none"/>
        </w:rPr>
        <w:t>，余款</w:t>
      </w:r>
      <w:r>
        <w:rPr>
          <w:rFonts w:ascii="宋体" w:hAnsi="宋体" w:cs="宋体"/>
          <w:sz w:val="24"/>
          <w:highlight w:val="none"/>
        </w:rPr>
        <w:t>5%</w:t>
      </w:r>
      <w:r>
        <w:rPr>
          <w:rFonts w:hint="eastAsia" w:ascii="宋体" w:hAnsi="宋体" w:cs="宋体"/>
          <w:sz w:val="24"/>
          <w:highlight w:val="none"/>
        </w:rPr>
        <w:t>在自本项目验收合格之日起满</w:t>
      </w:r>
      <w:r>
        <w:rPr>
          <w:rFonts w:ascii="宋体" w:hAnsi="宋体" w:cs="宋体"/>
          <w:sz w:val="24"/>
          <w:highlight w:val="none"/>
        </w:rPr>
        <w:t>1</w:t>
      </w:r>
      <w:r>
        <w:rPr>
          <w:rFonts w:hint="eastAsia" w:ascii="宋体" w:hAnsi="宋体" w:cs="宋体"/>
          <w:sz w:val="24"/>
          <w:highlight w:val="none"/>
        </w:rPr>
        <w:t>年后无质量问题</w:t>
      </w:r>
      <w:r>
        <w:rPr>
          <w:rFonts w:ascii="宋体" w:hAnsi="宋体" w:cs="宋体"/>
          <w:sz w:val="24"/>
          <w:highlight w:val="none"/>
        </w:rPr>
        <w:t>（</w:t>
      </w:r>
      <w:r>
        <w:rPr>
          <w:rFonts w:hint="eastAsia" w:ascii="宋体" w:hAnsi="宋体" w:cs="宋体"/>
          <w:sz w:val="24"/>
          <w:highlight w:val="none"/>
          <w:lang w:eastAsia="zh-Hans"/>
        </w:rPr>
        <w:t>需甲方出具无质量问题证明</w:t>
      </w:r>
      <w:r>
        <w:rPr>
          <w:rFonts w:ascii="宋体" w:hAnsi="宋体" w:cs="宋体"/>
          <w:sz w:val="24"/>
          <w:highlight w:val="none"/>
          <w:lang w:eastAsia="zh-Hans"/>
        </w:rPr>
        <w:t>）</w:t>
      </w:r>
      <w:r>
        <w:rPr>
          <w:rFonts w:hint="eastAsia" w:ascii="宋体" w:hAnsi="宋体" w:cs="宋体"/>
          <w:sz w:val="24"/>
          <w:highlight w:val="none"/>
        </w:rPr>
        <w:t>一次性结清。</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以上付款均不计利息，中标人应</w:t>
      </w:r>
      <w:r>
        <w:rPr>
          <w:rFonts w:hint="eastAsia" w:ascii="宋体" w:hAnsi="宋体" w:cs="宋体"/>
          <w:sz w:val="24"/>
          <w:highlight w:val="none"/>
          <w:lang w:eastAsia="zh-Hans"/>
        </w:rPr>
        <w:t>在请求付款前</w:t>
      </w:r>
      <w:r>
        <w:rPr>
          <w:rFonts w:hint="eastAsia" w:ascii="宋体" w:hAnsi="宋体" w:cs="宋体"/>
          <w:sz w:val="24"/>
          <w:highlight w:val="none"/>
        </w:rPr>
        <w:t>出具由税务部门认可的正式发票。</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三、质量要求</w:t>
      </w:r>
    </w:p>
    <w:p>
      <w:pPr>
        <w:spacing w:line="500" w:lineRule="exact"/>
        <w:ind w:firstLine="480" w:firstLineChars="200"/>
        <w:outlineLvl w:val="1"/>
        <w:rPr>
          <w:rFonts w:ascii="宋体" w:hAnsi="宋体" w:cs="宋体"/>
          <w:sz w:val="24"/>
          <w:highlight w:val="none"/>
        </w:rPr>
      </w:pPr>
      <w:r>
        <w:rPr>
          <w:rFonts w:hint="eastAsia" w:ascii="宋体" w:hAnsi="宋体" w:cs="宋体"/>
          <w:sz w:val="24"/>
          <w:highlight w:val="none"/>
        </w:rPr>
        <w:t>1、乙方应保证货物是全新、未使用过的原厂合格产品，并完全符合投标文件及本合同规定的质量、规格和参数的要求。验收过程中发现不符合上述要求的，将视作不合格产品，甲方有权解除合同，造成的一切损失由乙方承担</w:t>
      </w:r>
      <w:r>
        <w:rPr>
          <w:rFonts w:ascii="宋体" w:hAnsi="宋体" w:cs="宋体"/>
          <w:sz w:val="24"/>
          <w:highlight w:val="none"/>
        </w:rPr>
        <w:t>，</w:t>
      </w:r>
      <w:r>
        <w:rPr>
          <w:rFonts w:hint="eastAsia" w:ascii="宋体" w:hAnsi="宋体" w:cs="宋体"/>
          <w:sz w:val="24"/>
          <w:highlight w:val="none"/>
          <w:lang w:eastAsia="zh-Hans"/>
        </w:rPr>
        <w:t>乙方退回所有已收款项且乙方应支付甲方合同总价</w:t>
      </w:r>
      <w:r>
        <w:rPr>
          <w:rFonts w:ascii="宋体" w:hAnsi="宋体" w:cs="宋体"/>
          <w:sz w:val="24"/>
          <w:highlight w:val="none"/>
          <w:lang w:eastAsia="zh-Hans"/>
        </w:rPr>
        <w:t>30%</w:t>
      </w:r>
      <w:r>
        <w:rPr>
          <w:rFonts w:hint="eastAsia" w:ascii="宋体" w:hAnsi="宋体" w:cs="宋体"/>
          <w:sz w:val="24"/>
          <w:highlight w:val="none"/>
          <w:lang w:eastAsia="zh-Hans"/>
        </w:rPr>
        <w:t>的违约金</w:t>
      </w:r>
      <w:r>
        <w:rPr>
          <w:rFonts w:hint="eastAsia" w:ascii="宋体" w:hAnsi="宋体" w:cs="宋体"/>
          <w:sz w:val="24"/>
          <w:highlight w:val="none"/>
        </w:rPr>
        <w:t>。</w:t>
      </w:r>
    </w:p>
    <w:p>
      <w:pPr>
        <w:spacing w:line="500" w:lineRule="exact"/>
        <w:ind w:firstLine="480" w:firstLineChars="200"/>
        <w:outlineLvl w:val="1"/>
        <w:rPr>
          <w:rFonts w:ascii="宋体" w:hAnsi="宋体" w:cs="宋体"/>
          <w:sz w:val="24"/>
          <w:highlight w:val="none"/>
        </w:rPr>
      </w:pPr>
      <w:r>
        <w:rPr>
          <w:rFonts w:hint="eastAsia" w:ascii="宋体" w:hAnsi="宋体" w:cs="宋体"/>
          <w:sz w:val="24"/>
          <w:highlight w:val="none"/>
        </w:rPr>
        <w:t>2、报价产品的技术标准按国家标准执行，无国家标准的，按行业标准执行，无国家和行业标准的，按企业标准执行；但在投标文件中有特别要求的，按投标文件中规定的要求执行，并且符合相关法律、法规规定的要求。</w:t>
      </w:r>
    </w:p>
    <w:p>
      <w:pPr>
        <w:spacing w:line="500" w:lineRule="exact"/>
        <w:ind w:firstLine="480" w:firstLineChars="200"/>
        <w:outlineLvl w:val="1"/>
        <w:rPr>
          <w:rFonts w:ascii="宋体" w:hAnsi="宋体" w:cs="宋体"/>
          <w:sz w:val="24"/>
          <w:highlight w:val="none"/>
        </w:rPr>
      </w:pPr>
      <w:r>
        <w:rPr>
          <w:rFonts w:hint="eastAsia" w:ascii="宋体" w:hAnsi="宋体" w:cs="宋体"/>
          <w:sz w:val="24"/>
          <w:highlight w:val="none"/>
        </w:rPr>
        <w:t>3、乙方应保证提供的产品不得侵犯第三方专利权、商标权和设计权、版权等。否则，乙方应负全部责任，并承担由此引起的一切后果</w:t>
      </w:r>
      <w:r>
        <w:rPr>
          <w:rFonts w:ascii="宋体" w:hAnsi="宋体" w:cs="宋体"/>
          <w:sz w:val="24"/>
          <w:highlight w:val="none"/>
        </w:rPr>
        <w:t>，</w:t>
      </w:r>
      <w:r>
        <w:rPr>
          <w:rFonts w:hint="eastAsia" w:ascii="宋体" w:hAnsi="宋体" w:cs="宋体"/>
          <w:sz w:val="24"/>
          <w:highlight w:val="none"/>
          <w:lang w:eastAsia="zh-Hans"/>
        </w:rPr>
        <w:t>乙方同时按给甲方造成直接经济损失的</w:t>
      </w:r>
      <w:r>
        <w:rPr>
          <w:rFonts w:ascii="宋体" w:hAnsi="宋体" w:cs="宋体"/>
          <w:sz w:val="24"/>
          <w:highlight w:val="none"/>
          <w:lang w:eastAsia="zh-Hans"/>
        </w:rPr>
        <w:t>30%</w:t>
      </w:r>
      <w:r>
        <w:rPr>
          <w:rFonts w:hint="eastAsia" w:ascii="宋体" w:hAnsi="宋体" w:cs="宋体"/>
          <w:sz w:val="24"/>
          <w:highlight w:val="none"/>
          <w:lang w:eastAsia="zh-Hans"/>
        </w:rPr>
        <w:t>支付违约金</w:t>
      </w:r>
      <w:r>
        <w:rPr>
          <w:rFonts w:hint="eastAsia" w:ascii="宋体" w:hAnsi="宋体" w:cs="宋体"/>
          <w:sz w:val="24"/>
          <w:highlight w:val="none"/>
        </w:rPr>
        <w:t>。</w:t>
      </w:r>
    </w:p>
    <w:p>
      <w:pPr>
        <w:spacing w:line="500" w:lineRule="exact"/>
        <w:ind w:firstLine="480" w:firstLineChars="200"/>
        <w:outlineLvl w:val="1"/>
        <w:rPr>
          <w:rFonts w:ascii="宋体" w:hAnsi="宋体" w:cs="宋体"/>
          <w:sz w:val="24"/>
          <w:highlight w:val="none"/>
        </w:rPr>
      </w:pPr>
      <w:r>
        <w:rPr>
          <w:rFonts w:hint="eastAsia" w:ascii="宋体" w:hAnsi="宋体" w:cs="宋体"/>
          <w:sz w:val="24"/>
          <w:highlight w:val="none"/>
        </w:rPr>
        <w:t>4、乙方应保证其货物在正确安装、正常使用下，在其使用寿命期内应具有满意的性能。</w:t>
      </w:r>
    </w:p>
    <w:p>
      <w:pPr>
        <w:spacing w:line="500" w:lineRule="exact"/>
        <w:ind w:firstLine="480" w:firstLineChars="200"/>
        <w:outlineLvl w:val="1"/>
        <w:rPr>
          <w:rFonts w:ascii="宋体" w:hAnsi="宋体" w:cs="宋体"/>
          <w:sz w:val="24"/>
          <w:highlight w:val="none"/>
        </w:rPr>
      </w:pPr>
      <w:r>
        <w:rPr>
          <w:rFonts w:hint="eastAsia" w:ascii="宋体" w:hAnsi="宋体" w:cs="宋体"/>
          <w:sz w:val="24"/>
          <w:highlight w:val="none"/>
        </w:rPr>
        <w:t>5、乙方应采取必要的安全措施保证货物的运输及安装的安全，并承担货物的运输及安装过程中产生的风险。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6、供应商必须保证所提供的产品符合国家相应质量要求。</w:t>
      </w:r>
    </w:p>
    <w:p>
      <w:pPr>
        <w:adjustRightInd w:val="0"/>
        <w:snapToGrid w:val="0"/>
        <w:spacing w:line="480" w:lineRule="exact"/>
        <w:ind w:firstLine="482" w:firstLineChars="200"/>
        <w:jc w:val="left"/>
        <w:rPr>
          <w:rFonts w:ascii="宋体" w:hAnsi="宋体" w:cs="Calibri"/>
          <w:b/>
          <w:bCs/>
          <w:sz w:val="24"/>
          <w:highlight w:val="none"/>
        </w:rPr>
      </w:pPr>
      <w:r>
        <w:rPr>
          <w:rFonts w:hint="eastAsia" w:ascii="宋体" w:hAnsi="宋体" w:cs="Calibri"/>
          <w:b/>
          <w:bCs/>
          <w:sz w:val="24"/>
          <w:highlight w:val="none"/>
        </w:rPr>
        <w:t>四、交货期、地点</w:t>
      </w:r>
    </w:p>
    <w:p>
      <w:pPr>
        <w:snapToGrid w:val="0"/>
        <w:spacing w:line="480" w:lineRule="exact"/>
        <w:ind w:firstLine="480" w:firstLineChars="200"/>
        <w:rPr>
          <w:rFonts w:ascii="宋体" w:hAnsi="宋体" w:cs="Calibri"/>
          <w:sz w:val="24"/>
          <w:highlight w:val="none"/>
        </w:rPr>
      </w:pPr>
      <w:r>
        <w:rPr>
          <w:rFonts w:hint="eastAsia" w:ascii="宋体" w:hAnsi="宋体" w:cs="Calibri"/>
          <w:sz w:val="24"/>
          <w:highlight w:val="none"/>
        </w:rPr>
        <w:t>1、产品设备交付及安装调试服务日期：乙方需在签订合同后</w:t>
      </w:r>
      <w:r>
        <w:rPr>
          <w:rFonts w:ascii="宋体" w:hAnsi="宋体" w:cs="Calibri"/>
          <w:sz w:val="24"/>
          <w:highlight w:val="none"/>
          <w:u w:val="single"/>
        </w:rPr>
        <w:t xml:space="preserve"> 20 </w:t>
      </w:r>
      <w:r>
        <w:rPr>
          <w:rFonts w:hint="eastAsia" w:ascii="宋体" w:hAnsi="宋体" w:cs="Calibri"/>
          <w:sz w:val="24"/>
          <w:highlight w:val="none"/>
        </w:rPr>
        <w:t>日历天内完成所有设备的安装调试</w:t>
      </w:r>
      <w:r>
        <w:rPr>
          <w:rFonts w:hint="eastAsia" w:ascii="宋体" w:hAnsi="宋体" w:cs="Calibri"/>
          <w:sz w:val="24"/>
          <w:highlight w:val="none"/>
          <w:lang w:eastAsia="zh-Hans"/>
        </w:rPr>
        <w:t>并通过甲方验收</w:t>
      </w:r>
      <w:r>
        <w:rPr>
          <w:rFonts w:hint="eastAsia" w:ascii="宋体" w:hAnsi="宋体" w:cs="Calibri"/>
          <w:sz w:val="24"/>
          <w:highlight w:val="none"/>
        </w:rPr>
        <w:t>。</w:t>
      </w:r>
    </w:p>
    <w:p>
      <w:pPr>
        <w:snapToGrid w:val="0"/>
        <w:spacing w:line="480" w:lineRule="exact"/>
        <w:ind w:firstLine="480" w:firstLineChars="200"/>
        <w:rPr>
          <w:rFonts w:ascii="宋体" w:hAnsi="宋体" w:cs="Calibri"/>
          <w:sz w:val="24"/>
          <w:highlight w:val="none"/>
        </w:rPr>
      </w:pPr>
      <w:r>
        <w:rPr>
          <w:rFonts w:ascii="宋体" w:hAnsi="宋体" w:cs="Calibri"/>
          <w:sz w:val="24"/>
          <w:highlight w:val="none"/>
        </w:rPr>
        <w:t>2</w:t>
      </w:r>
      <w:r>
        <w:rPr>
          <w:rFonts w:hint="eastAsia" w:ascii="宋体" w:hAnsi="宋体" w:cs="Calibri"/>
          <w:sz w:val="24"/>
          <w:highlight w:val="none"/>
        </w:rPr>
        <w:t>、交货地点：</w:t>
      </w:r>
      <w:r>
        <w:rPr>
          <w:rFonts w:hint="eastAsia" w:ascii="宋体" w:hAnsi="宋体" w:cs="Calibri"/>
          <w:sz w:val="24"/>
          <w:highlight w:val="none"/>
          <w:lang w:eastAsia="zh-Hans"/>
        </w:rPr>
        <w:t>乙方将</w:t>
      </w:r>
      <w:r>
        <w:rPr>
          <w:rFonts w:hint="eastAsia" w:ascii="宋体" w:hAnsi="宋体" w:cs="Calibri"/>
          <w:sz w:val="24"/>
          <w:highlight w:val="none"/>
        </w:rPr>
        <w:t>产品设备送至甲方指定的地点并负责安装、调试。</w:t>
      </w:r>
      <w:r>
        <w:rPr>
          <w:rFonts w:hint="eastAsia" w:ascii="宋体" w:hAnsi="宋体" w:cs="Calibri"/>
          <w:sz w:val="24"/>
          <w:highlight w:val="none"/>
          <w:lang w:eastAsia="zh-Hans"/>
        </w:rPr>
        <w:t>在通过甲方验收前</w:t>
      </w:r>
      <w:r>
        <w:rPr>
          <w:rFonts w:ascii="宋体" w:hAnsi="宋体" w:cs="Calibri"/>
          <w:sz w:val="24"/>
          <w:highlight w:val="none"/>
          <w:lang w:eastAsia="zh-Hans"/>
        </w:rPr>
        <w:t>，</w:t>
      </w:r>
      <w:r>
        <w:rPr>
          <w:rFonts w:hint="eastAsia" w:ascii="宋体" w:hAnsi="宋体" w:cs="Calibri"/>
          <w:sz w:val="24"/>
          <w:highlight w:val="none"/>
          <w:lang w:eastAsia="zh-Hans"/>
        </w:rPr>
        <w:t>货物灭失毁损的风险由乙方承担</w:t>
      </w:r>
      <w:r>
        <w:rPr>
          <w:rFonts w:ascii="宋体" w:hAnsi="宋体" w:cs="Calibri"/>
          <w:sz w:val="24"/>
          <w:highlight w:val="none"/>
          <w:lang w:eastAsia="zh-Hans"/>
        </w:rPr>
        <w:t>。</w:t>
      </w:r>
    </w:p>
    <w:p>
      <w:pPr>
        <w:adjustRightInd w:val="0"/>
        <w:snapToGrid w:val="0"/>
        <w:spacing w:line="480" w:lineRule="exact"/>
        <w:ind w:firstLine="482" w:firstLineChars="200"/>
        <w:jc w:val="left"/>
        <w:rPr>
          <w:rFonts w:ascii="宋体" w:hAnsi="宋体" w:cs="Calibri"/>
          <w:b/>
          <w:bCs/>
          <w:sz w:val="24"/>
          <w:highlight w:val="none"/>
        </w:rPr>
      </w:pPr>
      <w:r>
        <w:rPr>
          <w:rFonts w:hint="eastAsia" w:ascii="宋体" w:hAnsi="宋体" w:cs="Calibri"/>
          <w:b/>
          <w:bCs/>
          <w:sz w:val="24"/>
          <w:highlight w:val="none"/>
        </w:rPr>
        <w:t>五、质保期限及售后服务</w:t>
      </w:r>
    </w:p>
    <w:p>
      <w:pPr>
        <w:adjustRightInd w:val="0"/>
        <w:snapToGrid w:val="0"/>
        <w:spacing w:line="480" w:lineRule="exact"/>
        <w:ind w:firstLine="480" w:firstLineChars="200"/>
        <w:jc w:val="left"/>
        <w:rPr>
          <w:rFonts w:ascii="宋体" w:hAnsi="宋体" w:cs="宋体"/>
          <w:sz w:val="24"/>
          <w:highlight w:val="none"/>
        </w:rPr>
      </w:pPr>
      <w:r>
        <w:rPr>
          <w:rFonts w:hint="eastAsia" w:ascii="宋体" w:hAnsi="宋体" w:cs="Calibri"/>
          <w:sz w:val="24"/>
          <w:highlight w:val="none"/>
        </w:rPr>
        <w:t>1、</w:t>
      </w:r>
      <w:r>
        <w:rPr>
          <w:rFonts w:hint="eastAsia" w:ascii="宋体" w:hAnsi="宋体" w:cs="宋体"/>
          <w:sz w:val="24"/>
          <w:highlight w:val="none"/>
        </w:rPr>
        <w:t>免费质保期自验收合格之日起计算，本项目要求乙方提供不少于一年的免费质保。</w:t>
      </w:r>
    </w:p>
    <w:p>
      <w:pPr>
        <w:spacing w:line="360" w:lineRule="auto"/>
        <w:ind w:firstLine="480" w:firstLineChars="200"/>
        <w:rPr>
          <w:rFonts w:ascii="宋体" w:hAnsi="宋体" w:cs="宋体"/>
          <w:sz w:val="24"/>
          <w:highlight w:val="none"/>
        </w:rPr>
      </w:pPr>
      <w:r>
        <w:rPr>
          <w:rFonts w:hint="eastAsia" w:ascii="宋体" w:hAnsi="宋体" w:cs="宋体"/>
          <w:highlight w:val="none"/>
        </w:rPr>
        <w:t>期间因质量问题所发生的所有费用（</w:t>
      </w:r>
      <w:r>
        <w:rPr>
          <w:rFonts w:hint="eastAsia" w:ascii="宋体" w:hAnsi="宋体" w:cs="宋体"/>
          <w:highlight w:val="none"/>
          <w:lang w:eastAsia="zh-Hans"/>
        </w:rPr>
        <w:t>包括但不限于</w:t>
      </w:r>
      <w:r>
        <w:rPr>
          <w:rFonts w:hint="eastAsia" w:ascii="宋体" w:hAnsi="宋体" w:cs="宋体"/>
          <w:highlight w:val="none"/>
        </w:rPr>
        <w:t>配件更换费和运费）由供应商承担</w:t>
      </w:r>
      <w:r>
        <w:rPr>
          <w:rFonts w:ascii="宋体" w:hAnsi="宋体" w:cs="宋体"/>
          <w:highlight w:val="none"/>
        </w:rPr>
        <w:t>，</w:t>
      </w:r>
      <w:r>
        <w:rPr>
          <w:rFonts w:hint="eastAsia" w:ascii="宋体" w:hAnsi="宋体" w:cs="宋体"/>
          <w:highlight w:val="none"/>
          <w:lang w:eastAsia="zh-Hans"/>
        </w:rPr>
        <w:t>如供应商无法证明系人为使用不当导致</w:t>
      </w:r>
      <w:r>
        <w:rPr>
          <w:rFonts w:ascii="宋体" w:hAnsi="宋体" w:cs="宋体"/>
          <w:highlight w:val="none"/>
          <w:lang w:eastAsia="zh-Hans"/>
        </w:rPr>
        <w:t>，</w:t>
      </w:r>
      <w:r>
        <w:rPr>
          <w:rFonts w:hint="eastAsia" w:ascii="宋体" w:hAnsi="宋体" w:cs="宋体"/>
          <w:highlight w:val="none"/>
          <w:lang w:eastAsia="zh-Hans"/>
        </w:rPr>
        <w:t>则一律视为质量问题</w:t>
      </w:r>
      <w:r>
        <w:rPr>
          <w:rFonts w:hint="eastAsia" w:ascii="宋体" w:hAnsi="宋体" w:cs="宋体"/>
          <w:highlight w:val="none"/>
        </w:rPr>
        <w:t>。</w:t>
      </w:r>
      <w:r>
        <w:rPr>
          <w:rFonts w:hint="eastAsia" w:ascii="宋体" w:hAnsi="宋体" w:cs="宋体"/>
          <w:sz w:val="24"/>
          <w:highlight w:val="none"/>
        </w:rPr>
        <w:t>免费质保期满后，每年软件维保费不超过软件合同价的10%。</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六、售后服务及质保</w:t>
      </w:r>
    </w:p>
    <w:p>
      <w:pPr>
        <w:tabs>
          <w:tab w:val="left" w:pos="5325"/>
        </w:tabs>
        <w:snapToGrid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乙方要保证反应快捷的售后服务，合理的服务价格，同时国内拥有技术应用服务中心与相应的工程师；乙方于有办事处及此设备的维修工程师，乙方工程师对用户的信息和技术支持无论是电话或邮件的方式都是及时的、免费的。</w:t>
      </w:r>
    </w:p>
    <w:p>
      <w:pPr>
        <w:tabs>
          <w:tab w:val="left" w:pos="5325"/>
        </w:tabs>
        <w:snapToGrid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2、技术培训：安装验收前，乙方先安排为期一次的培训，让使用人员对仪器的基本功能进行了解；安装验收后</w:t>
      </w:r>
      <w:r>
        <w:rPr>
          <w:rFonts w:hint="eastAsia" w:ascii="宋体" w:hAnsi="宋体" w:cs="宋体"/>
          <w:sz w:val="24"/>
          <w:highlight w:val="none"/>
          <w:lang w:eastAsia="zh-Hans"/>
        </w:rPr>
        <w:t>三个工作日内</w:t>
      </w:r>
      <w:r>
        <w:rPr>
          <w:rFonts w:hint="eastAsia" w:ascii="宋体" w:hAnsi="宋体" w:cs="宋体"/>
          <w:sz w:val="24"/>
          <w:highlight w:val="none"/>
        </w:rPr>
        <w:t>，于</w:t>
      </w:r>
      <w:r>
        <w:rPr>
          <w:rFonts w:hint="eastAsia" w:ascii="宋体" w:hAnsi="宋体" w:cs="宋体"/>
          <w:sz w:val="24"/>
          <w:highlight w:val="none"/>
          <w:lang w:eastAsia="zh-Hans"/>
        </w:rPr>
        <w:t>甲方</w:t>
      </w:r>
      <w:r>
        <w:rPr>
          <w:rFonts w:hint="eastAsia" w:ascii="宋体" w:hAnsi="宋体" w:cs="宋体"/>
          <w:sz w:val="24"/>
          <w:highlight w:val="none"/>
        </w:rPr>
        <w:t>现场进行至少一次的仪器操作与应用培训。</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七、安装培训方面：</w:t>
      </w:r>
    </w:p>
    <w:p>
      <w:pPr>
        <w:tabs>
          <w:tab w:val="left" w:pos="5325"/>
        </w:tabs>
        <w:spacing w:line="360" w:lineRule="auto"/>
        <w:ind w:firstLine="480" w:firstLineChars="200"/>
        <w:rPr>
          <w:rFonts w:ascii="宋体" w:hAnsi="宋体" w:cs="宋体"/>
          <w:sz w:val="24"/>
          <w:highlight w:val="none"/>
        </w:rPr>
      </w:pPr>
      <w:r>
        <w:rPr>
          <w:rFonts w:hint="eastAsia" w:ascii="宋体" w:hAnsi="宋体" w:cs="宋体"/>
          <w:sz w:val="24"/>
          <w:highlight w:val="none"/>
        </w:rPr>
        <w:t>1、乙方应提供免费现场安装调试工作；</w:t>
      </w:r>
    </w:p>
    <w:p>
      <w:pPr>
        <w:tabs>
          <w:tab w:val="left" w:pos="5325"/>
        </w:tabs>
        <w:spacing w:line="360" w:lineRule="auto"/>
        <w:ind w:firstLine="480" w:firstLineChars="200"/>
        <w:rPr>
          <w:rFonts w:ascii="宋体" w:hAnsi="宋体" w:cs="宋体"/>
          <w:sz w:val="24"/>
          <w:highlight w:val="none"/>
        </w:rPr>
      </w:pPr>
      <w:r>
        <w:rPr>
          <w:rFonts w:hint="eastAsia" w:ascii="宋体" w:hAnsi="宋体" w:cs="宋体"/>
          <w:sz w:val="24"/>
          <w:highlight w:val="none"/>
        </w:rPr>
        <w:t>2、乙方应提供免费的1～2人的设备操作培训讲解，设备故障说明和简单的维修方法及日常的维护保养讲解。</w:t>
      </w:r>
    </w:p>
    <w:p>
      <w:pPr>
        <w:tabs>
          <w:tab w:val="left" w:pos="5325"/>
        </w:tabs>
        <w:spacing w:line="360" w:lineRule="auto"/>
        <w:ind w:firstLine="480" w:firstLineChars="200"/>
        <w:rPr>
          <w:highlight w:val="none"/>
        </w:rPr>
      </w:pPr>
      <w:r>
        <w:rPr>
          <w:rFonts w:hint="eastAsia" w:ascii="宋体" w:hAnsi="宋体" w:cs="宋体"/>
          <w:sz w:val="24"/>
          <w:highlight w:val="none"/>
        </w:rPr>
        <w:t>3、在出现故障或者其他问题需要维护服务时，乙方应在12小时内登门服务。24小时内修复，24小时不能修复的须免费提供备用设备至修复；</w:t>
      </w:r>
      <w:r>
        <w:rPr>
          <w:rFonts w:hint="eastAsia" w:ascii="宋体" w:hAnsi="宋体" w:cs="宋体"/>
          <w:sz w:val="24"/>
          <w:highlight w:val="none"/>
          <w:lang w:eastAsia="zh-Hans"/>
        </w:rPr>
        <w:t>如</w:t>
      </w:r>
      <w:r>
        <w:rPr>
          <w:rFonts w:ascii="宋体" w:hAnsi="宋体" w:cs="宋体"/>
          <w:sz w:val="24"/>
          <w:highlight w:val="none"/>
          <w:lang w:eastAsia="zh-Hans"/>
        </w:rPr>
        <w:t>96</w:t>
      </w:r>
      <w:r>
        <w:rPr>
          <w:rFonts w:hint="eastAsia" w:ascii="宋体" w:hAnsi="宋体" w:cs="宋体"/>
          <w:sz w:val="24"/>
          <w:highlight w:val="none"/>
          <w:lang w:eastAsia="zh-Hans"/>
        </w:rPr>
        <w:t>小时内仍无法修复的</w:t>
      </w:r>
      <w:r>
        <w:rPr>
          <w:rFonts w:ascii="宋体" w:hAnsi="宋体" w:cs="宋体"/>
          <w:sz w:val="24"/>
          <w:highlight w:val="none"/>
          <w:lang w:eastAsia="zh-Hans"/>
        </w:rPr>
        <w:t>，</w:t>
      </w:r>
      <w:r>
        <w:rPr>
          <w:rFonts w:hint="eastAsia" w:ascii="宋体" w:hAnsi="宋体" w:cs="宋体"/>
          <w:sz w:val="24"/>
          <w:highlight w:val="none"/>
          <w:lang w:eastAsia="zh-Hans"/>
        </w:rPr>
        <w:t>则应免费更换全新设备</w:t>
      </w:r>
      <w:r>
        <w:rPr>
          <w:rFonts w:ascii="宋体" w:hAnsi="宋体" w:cs="宋体"/>
          <w:sz w:val="24"/>
          <w:highlight w:val="none"/>
          <w:lang w:eastAsia="zh-Hans"/>
        </w:rPr>
        <w:t>。</w:t>
      </w:r>
    </w:p>
    <w:p>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八、违约责任</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1、甲方违约责任</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（1）甲方应按合同约定支付合同款。甲方未能按照合同约定履行应尽义务的，应补偿乙方相应费用</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2、乙方违约责任</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（1）未经甲方同意，乙方擅自将承包的项目进行分包或转包给他人，给甲方造成损失的，应承担赔偿责任。为此，甲方有权解除本合同</w:t>
      </w:r>
      <w:r>
        <w:rPr>
          <w:rFonts w:ascii="宋体" w:hAnsi="宋体" w:cs="宋体"/>
          <w:sz w:val="24"/>
          <w:highlight w:val="none"/>
        </w:rPr>
        <w:t>，</w:t>
      </w:r>
      <w:r>
        <w:rPr>
          <w:rFonts w:hint="eastAsia" w:ascii="宋体" w:hAnsi="宋体" w:cs="宋体"/>
          <w:sz w:val="24"/>
          <w:highlight w:val="none"/>
          <w:lang w:eastAsia="zh-Hans"/>
        </w:rPr>
        <w:t>乙方退回所有已收款项且乙方应支付甲方合同总价</w:t>
      </w:r>
      <w:r>
        <w:rPr>
          <w:rFonts w:ascii="宋体" w:hAnsi="宋体" w:cs="宋体"/>
          <w:sz w:val="24"/>
          <w:highlight w:val="none"/>
          <w:lang w:eastAsia="zh-Hans"/>
        </w:rPr>
        <w:t>30%</w:t>
      </w:r>
      <w:r>
        <w:rPr>
          <w:rFonts w:hint="eastAsia" w:ascii="宋体" w:hAnsi="宋体" w:cs="宋体"/>
          <w:sz w:val="24"/>
          <w:highlight w:val="none"/>
          <w:lang w:eastAsia="zh-Hans"/>
        </w:rPr>
        <w:t>的违约金</w:t>
      </w:r>
      <w:r>
        <w:rPr>
          <w:rFonts w:hint="eastAsia" w:ascii="宋体" w:hAnsi="宋体" w:cs="宋体"/>
          <w:sz w:val="24"/>
          <w:highlight w:val="none"/>
        </w:rPr>
        <w:t>。。</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（2）乙方严重违反合同约定，降低服务质量或导致甲方其他方面的严重损害，经甲方书面通知整改或警告后仍无效果的，一切责任由乙方自负，甲方有权解除本合同</w:t>
      </w:r>
      <w:r>
        <w:rPr>
          <w:rFonts w:ascii="宋体" w:hAnsi="宋体" w:cs="宋体"/>
          <w:sz w:val="24"/>
          <w:highlight w:val="none"/>
        </w:rPr>
        <w:t>，</w:t>
      </w:r>
      <w:r>
        <w:rPr>
          <w:rFonts w:hint="eastAsia" w:ascii="宋体" w:hAnsi="宋体" w:cs="宋体"/>
          <w:sz w:val="24"/>
          <w:highlight w:val="none"/>
          <w:lang w:eastAsia="zh-Hans"/>
        </w:rPr>
        <w:t>乙方退回所有已收款项且乙方应支付甲方合同总价</w:t>
      </w:r>
      <w:r>
        <w:rPr>
          <w:rFonts w:ascii="宋体" w:hAnsi="宋体" w:cs="宋体"/>
          <w:sz w:val="24"/>
          <w:highlight w:val="none"/>
          <w:lang w:eastAsia="zh-Hans"/>
        </w:rPr>
        <w:t>30%</w:t>
      </w:r>
      <w:r>
        <w:rPr>
          <w:rFonts w:hint="eastAsia" w:ascii="宋体" w:hAnsi="宋体" w:cs="宋体"/>
          <w:sz w:val="24"/>
          <w:highlight w:val="none"/>
          <w:lang w:eastAsia="zh-Hans"/>
        </w:rPr>
        <w:t>的违约金</w:t>
      </w:r>
      <w:r>
        <w:rPr>
          <w:rFonts w:hint="eastAsia" w:ascii="宋体" w:hAnsi="宋体" w:cs="宋体"/>
          <w:sz w:val="24"/>
          <w:highlight w:val="none"/>
        </w:rPr>
        <w:t>。</w:t>
      </w:r>
    </w:p>
    <w:p>
      <w:pPr>
        <w:spacing w:line="500" w:lineRule="exact"/>
        <w:ind w:firstLine="480" w:firstLineChars="200"/>
        <w:outlineLvl w:val="1"/>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lang w:eastAsia="zh-Hans"/>
        </w:rPr>
        <w:t>乙方迟延通过甲方验收的</w:t>
      </w:r>
      <w:r>
        <w:rPr>
          <w:rFonts w:ascii="宋体" w:hAnsi="宋体" w:cs="宋体"/>
          <w:sz w:val="24"/>
          <w:highlight w:val="none"/>
          <w:lang w:eastAsia="zh-Hans"/>
        </w:rPr>
        <w:t>，</w:t>
      </w:r>
      <w:r>
        <w:rPr>
          <w:rFonts w:hint="eastAsia" w:ascii="宋体" w:hAnsi="宋体" w:cs="宋体"/>
          <w:sz w:val="24"/>
          <w:highlight w:val="none"/>
          <w:lang w:eastAsia="zh-Hans"/>
        </w:rPr>
        <w:t>每迟延一天</w:t>
      </w:r>
      <w:r>
        <w:rPr>
          <w:rFonts w:ascii="宋体" w:hAnsi="宋体" w:cs="宋体"/>
          <w:sz w:val="24"/>
          <w:highlight w:val="none"/>
          <w:lang w:eastAsia="zh-Hans"/>
        </w:rPr>
        <w:t>，</w:t>
      </w:r>
      <w:r>
        <w:rPr>
          <w:rFonts w:hint="eastAsia" w:ascii="宋体" w:hAnsi="宋体" w:cs="宋体"/>
          <w:sz w:val="24"/>
          <w:highlight w:val="none"/>
          <w:lang w:eastAsia="zh-Hans"/>
        </w:rPr>
        <w:t>按合同总价的万分之五</w:t>
      </w:r>
      <w:r>
        <w:rPr>
          <w:rFonts w:ascii="宋体" w:hAnsi="宋体" w:cs="宋体"/>
          <w:sz w:val="24"/>
          <w:highlight w:val="none"/>
          <w:lang w:eastAsia="zh-Hans"/>
        </w:rPr>
        <w:t>/</w:t>
      </w:r>
      <w:r>
        <w:rPr>
          <w:rFonts w:hint="eastAsia" w:ascii="宋体" w:hAnsi="宋体" w:cs="宋体"/>
          <w:sz w:val="24"/>
          <w:highlight w:val="none"/>
          <w:lang w:eastAsia="zh-Hans"/>
        </w:rPr>
        <w:t>日支付逾期违约金给甲方</w:t>
      </w:r>
      <w:r>
        <w:rPr>
          <w:rFonts w:ascii="宋体" w:hAnsi="宋体" w:cs="宋体"/>
          <w:sz w:val="24"/>
          <w:highlight w:val="none"/>
          <w:lang w:eastAsia="zh-Hans"/>
        </w:rPr>
        <w:t>，</w:t>
      </w:r>
      <w:r>
        <w:rPr>
          <w:rFonts w:hint="eastAsia" w:ascii="宋体" w:hAnsi="宋体" w:cs="宋体"/>
          <w:sz w:val="24"/>
          <w:highlight w:val="none"/>
          <w:lang w:eastAsia="zh-Hans"/>
        </w:rPr>
        <w:t>迟延超过</w:t>
      </w:r>
      <w:r>
        <w:rPr>
          <w:rFonts w:ascii="宋体" w:hAnsi="宋体" w:cs="宋体"/>
          <w:sz w:val="24"/>
          <w:highlight w:val="none"/>
          <w:lang w:eastAsia="zh-Hans"/>
        </w:rPr>
        <w:t>15</w:t>
      </w:r>
      <w:r>
        <w:rPr>
          <w:rFonts w:hint="eastAsia" w:ascii="宋体" w:hAnsi="宋体" w:cs="宋体"/>
          <w:sz w:val="24"/>
          <w:highlight w:val="none"/>
          <w:lang w:eastAsia="zh-Hans"/>
        </w:rPr>
        <w:t>日</w:t>
      </w:r>
      <w:r>
        <w:rPr>
          <w:rFonts w:ascii="宋体" w:hAnsi="宋体" w:cs="宋体"/>
          <w:sz w:val="24"/>
          <w:highlight w:val="none"/>
          <w:lang w:eastAsia="zh-Hans"/>
        </w:rPr>
        <w:t>，</w:t>
      </w:r>
      <w:r>
        <w:rPr>
          <w:rFonts w:hint="eastAsia" w:ascii="宋体" w:hAnsi="宋体" w:cs="宋体"/>
          <w:sz w:val="24"/>
          <w:highlight w:val="none"/>
        </w:rPr>
        <w:t>甲方有权解除本合同</w:t>
      </w:r>
      <w:r>
        <w:rPr>
          <w:rFonts w:ascii="宋体" w:hAnsi="宋体" w:cs="宋体"/>
          <w:sz w:val="24"/>
          <w:highlight w:val="none"/>
        </w:rPr>
        <w:t>，</w:t>
      </w:r>
      <w:r>
        <w:rPr>
          <w:rFonts w:hint="eastAsia" w:ascii="宋体" w:hAnsi="宋体" w:cs="宋体"/>
          <w:sz w:val="24"/>
          <w:highlight w:val="none"/>
          <w:lang w:eastAsia="zh-Hans"/>
        </w:rPr>
        <w:t>乙方退回所有已收款项且乙方应支付甲方合同总价</w:t>
      </w:r>
      <w:r>
        <w:rPr>
          <w:rFonts w:ascii="宋体" w:hAnsi="宋体" w:cs="宋体"/>
          <w:sz w:val="24"/>
          <w:highlight w:val="none"/>
          <w:lang w:eastAsia="zh-Hans"/>
        </w:rPr>
        <w:t>30%</w:t>
      </w:r>
      <w:r>
        <w:rPr>
          <w:rFonts w:hint="eastAsia" w:ascii="宋体" w:hAnsi="宋体" w:cs="宋体"/>
          <w:sz w:val="24"/>
          <w:highlight w:val="none"/>
          <w:lang w:eastAsia="zh-Hans"/>
        </w:rPr>
        <w:t>的违约金</w:t>
      </w:r>
      <w:r>
        <w:rPr>
          <w:rFonts w:hint="eastAsia" w:ascii="宋体" w:hAnsi="宋体" w:cs="宋体"/>
          <w:sz w:val="24"/>
          <w:highlight w:val="none"/>
        </w:rPr>
        <w:t>。</w:t>
      </w:r>
    </w:p>
    <w:p>
      <w:pPr>
        <w:adjustRightInd w:val="0"/>
        <w:snapToGrid w:val="0"/>
        <w:spacing w:line="440" w:lineRule="exact"/>
        <w:ind w:firstLine="480" w:firstLineChars="200"/>
        <w:rPr>
          <w:rFonts w:ascii="宋体" w:hAnsi="宋体" w:cs="宋体"/>
          <w:sz w:val="24"/>
          <w:highlight w:val="none"/>
          <w:lang w:eastAsia="zh-Hans"/>
        </w:rPr>
      </w:pPr>
      <w:r>
        <w:rPr>
          <w:rFonts w:ascii="宋体" w:hAnsi="宋体" w:cs="宋体"/>
          <w:sz w:val="24"/>
          <w:highlight w:val="none"/>
        </w:rPr>
        <w:t>（4）</w:t>
      </w:r>
      <w:r>
        <w:rPr>
          <w:rFonts w:hint="eastAsia" w:ascii="宋体" w:hAnsi="宋体" w:cs="宋体"/>
          <w:sz w:val="24"/>
          <w:highlight w:val="none"/>
          <w:lang w:eastAsia="zh-Hans"/>
        </w:rPr>
        <w:t>乙方迟延提供培训服务的</w:t>
      </w:r>
      <w:r>
        <w:rPr>
          <w:rFonts w:ascii="宋体" w:hAnsi="宋体" w:cs="宋体"/>
          <w:sz w:val="24"/>
          <w:highlight w:val="none"/>
          <w:lang w:eastAsia="zh-Hans"/>
        </w:rPr>
        <w:t>，</w:t>
      </w:r>
      <w:r>
        <w:rPr>
          <w:rFonts w:hint="eastAsia" w:ascii="宋体" w:hAnsi="宋体" w:cs="宋体"/>
          <w:sz w:val="24"/>
          <w:highlight w:val="none"/>
          <w:lang w:eastAsia="zh-Hans"/>
        </w:rPr>
        <w:t>每迟延一天</w:t>
      </w:r>
      <w:r>
        <w:rPr>
          <w:rFonts w:ascii="宋体" w:hAnsi="宋体" w:cs="宋体"/>
          <w:sz w:val="24"/>
          <w:highlight w:val="none"/>
          <w:lang w:eastAsia="zh-Hans"/>
        </w:rPr>
        <w:t>，</w:t>
      </w:r>
      <w:r>
        <w:rPr>
          <w:rFonts w:hint="eastAsia" w:ascii="宋体" w:hAnsi="宋体" w:cs="宋体"/>
          <w:sz w:val="24"/>
          <w:highlight w:val="none"/>
          <w:lang w:eastAsia="zh-Hans"/>
        </w:rPr>
        <w:t>按</w:t>
      </w:r>
      <w:r>
        <w:rPr>
          <w:rFonts w:ascii="宋体" w:hAnsi="宋体" w:cs="宋体"/>
          <w:sz w:val="24"/>
          <w:highlight w:val="none"/>
          <w:lang w:eastAsia="zh-Hans"/>
        </w:rPr>
        <w:t>1000</w:t>
      </w:r>
      <w:r>
        <w:rPr>
          <w:rFonts w:hint="eastAsia" w:ascii="宋体" w:hAnsi="宋体" w:cs="宋体"/>
          <w:sz w:val="24"/>
          <w:highlight w:val="none"/>
          <w:lang w:eastAsia="zh-Hans"/>
        </w:rPr>
        <w:t>元</w:t>
      </w:r>
      <w:r>
        <w:rPr>
          <w:rFonts w:ascii="宋体" w:hAnsi="宋体" w:cs="宋体"/>
          <w:sz w:val="24"/>
          <w:highlight w:val="none"/>
          <w:lang w:eastAsia="zh-Hans"/>
        </w:rPr>
        <w:t>/</w:t>
      </w:r>
      <w:r>
        <w:rPr>
          <w:rFonts w:hint="eastAsia" w:ascii="宋体" w:hAnsi="宋体" w:cs="宋体"/>
          <w:sz w:val="24"/>
          <w:highlight w:val="none"/>
          <w:lang w:eastAsia="zh-Hans"/>
        </w:rPr>
        <w:t>天支付违约金</w:t>
      </w:r>
      <w:r>
        <w:rPr>
          <w:rFonts w:ascii="宋体" w:hAnsi="宋体" w:cs="宋体"/>
          <w:sz w:val="24"/>
          <w:highlight w:val="none"/>
          <w:lang w:eastAsia="zh-Hans"/>
        </w:rPr>
        <w:t>。</w:t>
      </w:r>
    </w:p>
    <w:p>
      <w:pPr>
        <w:adjustRightInd w:val="0"/>
        <w:snapToGrid w:val="0"/>
        <w:spacing w:line="440" w:lineRule="exact"/>
        <w:ind w:firstLine="480" w:firstLineChars="200"/>
        <w:rPr>
          <w:rFonts w:ascii="宋体" w:hAnsi="宋体" w:cs="宋体"/>
          <w:b/>
          <w:sz w:val="24"/>
          <w:highlight w:val="none"/>
        </w:rPr>
      </w:pPr>
      <w:r>
        <w:rPr>
          <w:rFonts w:ascii="宋体" w:hAnsi="宋体" w:cs="宋体"/>
          <w:sz w:val="24"/>
          <w:highlight w:val="none"/>
          <w:lang w:eastAsia="zh-Hans"/>
        </w:rPr>
        <w:t>（5）</w:t>
      </w:r>
      <w:r>
        <w:rPr>
          <w:rFonts w:hint="eastAsia" w:ascii="宋体" w:hAnsi="宋体" w:cs="宋体"/>
          <w:sz w:val="24"/>
          <w:highlight w:val="none"/>
          <w:lang w:eastAsia="zh-Hans"/>
        </w:rPr>
        <w:t>乙方迟延提供登门维修服务的</w:t>
      </w:r>
      <w:r>
        <w:rPr>
          <w:rFonts w:ascii="宋体" w:hAnsi="宋体" w:cs="宋体"/>
          <w:sz w:val="24"/>
          <w:highlight w:val="none"/>
          <w:lang w:eastAsia="zh-Hans"/>
        </w:rPr>
        <w:t>，</w:t>
      </w:r>
      <w:r>
        <w:rPr>
          <w:rFonts w:hint="eastAsia" w:ascii="宋体" w:hAnsi="宋体" w:cs="宋体"/>
          <w:sz w:val="24"/>
          <w:highlight w:val="none"/>
          <w:lang w:eastAsia="zh-Hans"/>
        </w:rPr>
        <w:t>每迟延</w:t>
      </w:r>
      <w:r>
        <w:rPr>
          <w:rFonts w:ascii="宋体" w:hAnsi="宋体" w:cs="宋体"/>
          <w:sz w:val="24"/>
          <w:highlight w:val="none"/>
          <w:lang w:eastAsia="zh-Hans"/>
        </w:rPr>
        <w:t>1</w:t>
      </w:r>
      <w:r>
        <w:rPr>
          <w:rFonts w:hint="eastAsia" w:ascii="宋体" w:hAnsi="宋体" w:cs="宋体"/>
          <w:sz w:val="24"/>
          <w:highlight w:val="none"/>
          <w:lang w:eastAsia="zh-Hans"/>
        </w:rPr>
        <w:t>小时</w:t>
      </w:r>
      <w:r>
        <w:rPr>
          <w:rFonts w:ascii="宋体" w:hAnsi="宋体" w:cs="宋体"/>
          <w:sz w:val="24"/>
          <w:highlight w:val="none"/>
          <w:lang w:eastAsia="zh-Hans"/>
        </w:rPr>
        <w:t>，</w:t>
      </w:r>
      <w:r>
        <w:rPr>
          <w:rFonts w:hint="eastAsia" w:ascii="宋体" w:hAnsi="宋体" w:cs="宋体"/>
          <w:sz w:val="24"/>
          <w:highlight w:val="none"/>
          <w:lang w:eastAsia="zh-Hans"/>
        </w:rPr>
        <w:t>按</w:t>
      </w:r>
      <w:r>
        <w:rPr>
          <w:rFonts w:ascii="宋体" w:hAnsi="宋体" w:cs="宋体"/>
          <w:sz w:val="24"/>
          <w:highlight w:val="none"/>
          <w:lang w:eastAsia="zh-Hans"/>
        </w:rPr>
        <w:t>300/</w:t>
      </w:r>
      <w:r>
        <w:rPr>
          <w:rFonts w:hint="eastAsia" w:ascii="宋体" w:hAnsi="宋体" w:cs="宋体"/>
          <w:sz w:val="24"/>
          <w:highlight w:val="none"/>
          <w:lang w:eastAsia="zh-Hans"/>
        </w:rPr>
        <w:t>小时支付违约金</w:t>
      </w:r>
      <w:r>
        <w:rPr>
          <w:rFonts w:hint="eastAsia" w:ascii="宋体" w:hAnsi="宋体" w:cs="宋体"/>
          <w:sz w:val="24"/>
          <w:highlight w:val="none"/>
        </w:rPr>
        <w:t>。</w:t>
      </w:r>
    </w:p>
    <w:p>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九、合同的生效及备案</w:t>
      </w:r>
    </w:p>
    <w:p>
      <w:pPr>
        <w:pStyle w:val="11"/>
        <w:spacing w:line="520" w:lineRule="exact"/>
        <w:ind w:firstLine="480" w:firstLineChars="200"/>
        <w:rPr>
          <w:rFonts w:hAnsi="宋体" w:cs="宋体"/>
          <w:sz w:val="24"/>
          <w:szCs w:val="24"/>
          <w:highlight w:val="none"/>
        </w:rPr>
      </w:pPr>
      <w:r>
        <w:rPr>
          <w:rFonts w:hint="eastAsia" w:hAnsi="宋体" w:cs="宋体"/>
          <w:sz w:val="24"/>
          <w:szCs w:val="24"/>
          <w:highlight w:val="none"/>
        </w:rPr>
        <w:t>本合同在甲乙双方签字盖章后即生效。</w:t>
      </w:r>
    </w:p>
    <w:p>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十、争议的解决</w:t>
      </w:r>
    </w:p>
    <w:p>
      <w:pPr>
        <w:pStyle w:val="11"/>
        <w:spacing w:line="520" w:lineRule="exact"/>
        <w:ind w:firstLine="480" w:firstLineChars="200"/>
        <w:rPr>
          <w:rFonts w:hAnsi="宋体" w:cs="宋体"/>
          <w:sz w:val="24"/>
          <w:szCs w:val="24"/>
          <w:highlight w:val="none"/>
        </w:rPr>
      </w:pPr>
      <w:r>
        <w:rPr>
          <w:rFonts w:hint="eastAsia" w:hAnsi="宋体" w:cs="宋体"/>
          <w:sz w:val="24"/>
          <w:szCs w:val="24"/>
          <w:highlight w:val="none"/>
        </w:rPr>
        <w:t>甲乙双方因合同发生争议，应</w:t>
      </w:r>
      <w:r>
        <w:rPr>
          <w:rFonts w:hint="eastAsia" w:hAnsi="宋体" w:cs="宋体"/>
          <w:sz w:val="24"/>
          <w:szCs w:val="24"/>
          <w:highlight w:val="none"/>
          <w:lang w:eastAsia="zh-Hans"/>
        </w:rPr>
        <w:t>友好协商</w:t>
      </w:r>
      <w:r>
        <w:rPr>
          <w:rFonts w:hint="eastAsia" w:hAnsi="宋体" w:cs="宋体"/>
          <w:sz w:val="24"/>
          <w:szCs w:val="24"/>
          <w:highlight w:val="none"/>
        </w:rPr>
        <w:t>，协商不成，任何一方可以向南通仲裁委员会申请仲裁解决。</w:t>
      </w:r>
    </w:p>
    <w:p>
      <w:pPr>
        <w:adjustRightInd w:val="0"/>
        <w:snapToGrid w:val="0"/>
        <w:spacing w:line="440" w:lineRule="exact"/>
        <w:ind w:firstLine="482" w:firstLineChars="200"/>
        <w:rPr>
          <w:rFonts w:ascii="宋体" w:hAnsi="宋体" w:cs="宋体"/>
          <w:b/>
          <w:sz w:val="24"/>
          <w:highlight w:val="none"/>
        </w:rPr>
      </w:pPr>
      <w:r>
        <w:rPr>
          <w:rFonts w:hint="eastAsia" w:ascii="宋体" w:hAnsi="宋体" w:cs="宋体"/>
          <w:b/>
          <w:sz w:val="24"/>
          <w:highlight w:val="none"/>
        </w:rPr>
        <w:t>十一、附则</w:t>
      </w:r>
    </w:p>
    <w:p>
      <w:pPr>
        <w:pStyle w:val="11"/>
        <w:spacing w:line="520" w:lineRule="exact"/>
        <w:ind w:firstLine="480" w:firstLineChars="200"/>
        <w:rPr>
          <w:rFonts w:hAnsi="宋体" w:cs="宋体"/>
          <w:sz w:val="24"/>
          <w:szCs w:val="24"/>
          <w:highlight w:val="none"/>
        </w:rPr>
      </w:pPr>
      <w:r>
        <w:rPr>
          <w:rFonts w:hint="eastAsia" w:hAnsi="宋体" w:cs="宋体"/>
          <w:sz w:val="24"/>
          <w:szCs w:val="24"/>
          <w:highlight w:val="none"/>
        </w:rPr>
        <w:t>1、合同份数：本合同一式肆份，采购单位、供应商各两份。</w:t>
      </w:r>
    </w:p>
    <w:p>
      <w:pPr>
        <w:pStyle w:val="11"/>
        <w:spacing w:line="520" w:lineRule="exact"/>
        <w:ind w:firstLine="480" w:firstLineChars="200"/>
        <w:rPr>
          <w:rFonts w:hAnsi="宋体" w:cs="宋体"/>
          <w:sz w:val="24"/>
          <w:szCs w:val="24"/>
          <w:highlight w:val="none"/>
        </w:rPr>
      </w:pPr>
      <w:r>
        <w:rPr>
          <w:rFonts w:hint="eastAsia" w:hAnsi="宋体" w:cs="宋体"/>
          <w:sz w:val="24"/>
          <w:szCs w:val="24"/>
          <w:highlight w:val="none"/>
        </w:rPr>
        <w:t>2、本合同文件使用中文书写、解释和说明。</w:t>
      </w:r>
    </w:p>
    <w:p>
      <w:pPr>
        <w:pStyle w:val="11"/>
        <w:spacing w:line="520" w:lineRule="exact"/>
        <w:ind w:firstLine="480" w:firstLineChars="200"/>
        <w:rPr>
          <w:rFonts w:hAnsi="宋体" w:cs="宋体"/>
          <w:sz w:val="24"/>
          <w:szCs w:val="24"/>
          <w:highlight w:val="none"/>
        </w:rPr>
      </w:pPr>
      <w:r>
        <w:rPr>
          <w:rFonts w:hint="eastAsia" w:hAnsi="宋体" w:cs="宋体"/>
          <w:sz w:val="24"/>
          <w:szCs w:val="24"/>
          <w:highlight w:val="none"/>
        </w:rPr>
        <w:t>3、本合同履行过程中产生的纪要、协议以及成交通知书、采购响应文件和采购文件为本合同的附件，与合同具有同等效力。</w:t>
      </w:r>
    </w:p>
    <w:p>
      <w:pPr>
        <w:pStyle w:val="11"/>
        <w:spacing w:line="520" w:lineRule="exact"/>
        <w:ind w:firstLine="480" w:firstLineChars="200"/>
        <w:rPr>
          <w:rFonts w:hAnsi="宋体" w:cs="宋体"/>
          <w:sz w:val="24"/>
          <w:szCs w:val="24"/>
          <w:highlight w:val="none"/>
        </w:rPr>
      </w:pPr>
      <w:r>
        <w:rPr>
          <w:rFonts w:hint="eastAsia" w:hAnsi="宋体" w:cs="宋体"/>
          <w:sz w:val="24"/>
          <w:szCs w:val="24"/>
          <w:highlight w:val="none"/>
        </w:rPr>
        <w:t>4、未尽事宜</w:t>
      </w:r>
    </w:p>
    <w:p>
      <w:pPr>
        <w:pStyle w:val="11"/>
        <w:spacing w:line="520" w:lineRule="exact"/>
        <w:ind w:firstLine="480" w:firstLineChars="200"/>
        <w:rPr>
          <w:rFonts w:hAnsi="宋体" w:cs="宋体"/>
          <w:sz w:val="24"/>
          <w:szCs w:val="24"/>
          <w:highlight w:val="none"/>
        </w:rPr>
      </w:pPr>
      <w:r>
        <w:rPr>
          <w:rFonts w:hint="eastAsia" w:hAnsi="宋体" w:cs="宋体"/>
          <w:sz w:val="24"/>
          <w:szCs w:val="24"/>
          <w:highlight w:val="none"/>
        </w:rPr>
        <w:t>本合同未尽事宜应按照《中华人民共和国</w:t>
      </w:r>
      <w:r>
        <w:rPr>
          <w:rFonts w:hint="eastAsia" w:hAnsi="宋体" w:cs="宋体"/>
          <w:sz w:val="24"/>
          <w:szCs w:val="24"/>
          <w:highlight w:val="none"/>
          <w:lang w:eastAsia="zh-Hans"/>
        </w:rPr>
        <w:t>民法典</w:t>
      </w:r>
      <w:r>
        <w:rPr>
          <w:rFonts w:hint="eastAsia" w:hAnsi="宋体" w:cs="宋体"/>
          <w:sz w:val="24"/>
          <w:szCs w:val="24"/>
          <w:highlight w:val="none"/>
        </w:rPr>
        <w:t>》、《中华人民共和国政府采购法》及其相关配套法律法规之规定解释。</w:t>
      </w:r>
    </w:p>
    <w:p>
      <w:pPr>
        <w:snapToGrid w:val="0"/>
        <w:spacing w:line="480" w:lineRule="exact"/>
        <w:contextualSpacing/>
        <w:outlineLvl w:val="0"/>
        <w:rPr>
          <w:rFonts w:ascii="宋体" w:hAnsi="宋体" w:cs="宋体"/>
          <w:sz w:val="24"/>
          <w:highlight w:val="none"/>
        </w:rPr>
      </w:pPr>
    </w:p>
    <w:p>
      <w:pPr>
        <w:spacing w:line="480" w:lineRule="exact"/>
        <w:ind w:firstLine="484" w:firstLineChars="202"/>
        <w:rPr>
          <w:rFonts w:ascii="宋体" w:hAnsi="宋体" w:cs="宋体"/>
          <w:kern w:val="0"/>
          <w:sz w:val="24"/>
          <w:highlight w:val="none"/>
        </w:rPr>
      </w:pPr>
      <w:r>
        <w:rPr>
          <w:rFonts w:hint="eastAsia" w:ascii="宋体" w:hAnsi="宋体" w:cs="宋体"/>
          <w:kern w:val="0"/>
          <w:sz w:val="24"/>
          <w:highlight w:val="none"/>
        </w:rPr>
        <w:t>采购单位（或甲方）：             中标供应商（或乙方）：</w:t>
      </w:r>
    </w:p>
    <w:p>
      <w:pPr>
        <w:spacing w:line="480" w:lineRule="exact"/>
        <w:ind w:firstLine="484" w:firstLineChars="202"/>
        <w:rPr>
          <w:rFonts w:ascii="宋体" w:hAnsi="宋体" w:cs="宋体"/>
          <w:kern w:val="0"/>
          <w:sz w:val="24"/>
          <w:highlight w:val="none"/>
        </w:rPr>
      </w:pPr>
      <w:r>
        <w:rPr>
          <w:rFonts w:hint="eastAsia" w:ascii="宋体" w:hAnsi="宋体" w:cs="宋体"/>
          <w:kern w:val="0"/>
          <w:sz w:val="24"/>
          <w:highlight w:val="none"/>
        </w:rPr>
        <w:t>法定代表人：                     法定代表人：</w:t>
      </w:r>
    </w:p>
    <w:p>
      <w:pPr>
        <w:snapToGrid/>
        <w:spacing w:line="240" w:lineRule="auto"/>
        <w:ind w:firstLine="0" w:firstLineChars="0"/>
        <w:jc w:val="both"/>
        <w:outlineLvl w:val="9"/>
        <w:rPr>
          <w:rFonts w:ascii="Times New Roman" w:eastAsia="仿宋_GB2312"/>
          <w:b/>
          <w:sz w:val="36"/>
          <w:szCs w:val="36"/>
          <w:highlight w:val="none"/>
        </w:rPr>
      </w:pPr>
      <w:r>
        <w:rPr>
          <w:rFonts w:hint="eastAsia" w:hAnsi="宋体" w:cs="宋体"/>
          <w:kern w:val="0"/>
          <w:sz w:val="24"/>
          <w:highlight w:val="none"/>
          <w:lang w:val="en-US" w:eastAsia="zh-CN"/>
        </w:rPr>
        <w:t xml:space="preserve">    </w:t>
      </w:r>
      <w:r>
        <w:rPr>
          <w:rFonts w:hint="eastAsia" w:ascii="宋体" w:hAnsi="宋体" w:cs="宋体"/>
          <w:kern w:val="0"/>
          <w:sz w:val="24"/>
          <w:highlight w:val="none"/>
        </w:rPr>
        <w:t>委托代理人：                     委托代理人：</w:t>
      </w:r>
      <w:r>
        <w:rPr>
          <w:rFonts w:ascii="Times New Roman" w:eastAsia="仿宋_GB2312"/>
          <w:b/>
          <w:sz w:val="36"/>
          <w:szCs w:val="36"/>
          <w:highlight w:val="none"/>
        </w:rPr>
        <w:br w:type="page"/>
      </w:r>
    </w:p>
    <w:p>
      <w:pPr>
        <w:snapToGrid w:val="0"/>
        <w:spacing w:line="400" w:lineRule="atLeast"/>
        <w:ind w:firstLine="723" w:firstLineChars="200"/>
        <w:jc w:val="center"/>
        <w:outlineLvl w:val="0"/>
        <w:rPr>
          <w:rFonts w:ascii="Times New Roman" w:eastAsia="仿宋_GB2312"/>
          <w:b/>
          <w:sz w:val="36"/>
          <w:szCs w:val="36"/>
          <w:highlight w:val="none"/>
        </w:rPr>
      </w:pPr>
      <w:r>
        <w:rPr>
          <w:rFonts w:ascii="Times New Roman" w:eastAsia="仿宋_GB2312"/>
          <w:b/>
          <w:sz w:val="36"/>
          <w:szCs w:val="36"/>
          <w:highlight w:val="none"/>
        </w:rPr>
        <w:t>第六部分  质疑提出和处理</w:t>
      </w:r>
    </w:p>
    <w:p>
      <w:pPr>
        <w:pStyle w:val="9"/>
        <w:snapToGrid w:val="0"/>
        <w:spacing w:line="400" w:lineRule="atLeast"/>
        <w:ind w:left="0" w:firstLine="640" w:firstLineChars="200"/>
        <w:contextualSpacing/>
        <w:rPr>
          <w:rFonts w:ascii="Times New Roman"/>
          <w:sz w:val="32"/>
          <w:szCs w:val="32"/>
          <w:highlight w:val="none"/>
        </w:rPr>
      </w:pPr>
    </w:p>
    <w:p>
      <w:pPr>
        <w:snapToGrid w:val="0"/>
        <w:spacing w:after="120" w:line="400" w:lineRule="atLeast"/>
        <w:ind w:firstLine="482" w:firstLineChars="200"/>
        <w:contextualSpacing/>
        <w:rPr>
          <w:rFonts w:ascii="Times New Roman" w:eastAsia="仿宋_GB2312"/>
          <w:sz w:val="32"/>
          <w:szCs w:val="32"/>
          <w:highlight w:val="none"/>
        </w:rPr>
      </w:pPr>
      <w:r>
        <w:rPr>
          <w:rFonts w:ascii="Times New Roman"/>
          <w:b/>
          <w:bCs/>
          <w:highlight w:val="none"/>
          <w:u w:val="thick" w:color="FF0000"/>
        </w:rPr>
        <w:t>质疑函格式参见附件</w:t>
      </w:r>
      <w:r>
        <w:rPr>
          <w:rFonts w:ascii="Times New Roman"/>
          <w:b/>
          <w:bCs/>
          <w:highlight w:val="none"/>
        </w:rPr>
        <w:t>。</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一、质疑的提出</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(一)质疑人的身份要求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1.提出质疑的供应商应当是参与所质疑项目采购活动的供应商。</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2.潜在供应商已依法获取其可质疑的采购文件的，可以对该文件提出质疑。对采购文件提出质疑的，应当在获取采购文件或者采购文件公告期限届满之日起7个工作日内提出。</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(二)质疑提出的格式要求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1.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2.质疑函应包括：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（1）质疑投标人的名称、地址、邮编、联系人及联系电话；</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（2）质疑项目的名称、编号；</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（3）具体、明确的质疑事项和与质疑事项相关的请求；</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（4）事实依据；</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（5）必要的法律依据；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（6）提出质疑的日期。</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3.质疑函需遵循的原则：</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（三）质疑提出的时效要求</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1.投标人认为采购文件、采购过程和采购结果使自己的权益受到损害的，可以在知道或应知其权益受到损害之日起七个工作日内，以书面形式向采购人、采购代理机构提出质疑。上述应知其权益受到损害之日，是指：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（1）对可以质疑的采购文件提出质疑的，为收到采购文件之日或者采购文件公告期限届满之日；</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（2）对采购过程提出质疑的，为各采购程序环节结束之日；</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（3）对中标或者成交结果提出质疑的，为中标或者成交结果公告期限届满之日。</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投标人认为采购文件使自己的权益受到损害的，可以向采购人、采购代理机构提出质疑；投标人认为采购过程和采购结果使自己的权益受到损害的，可以以书面形式向采购人、采购代理机构提出质疑。</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2.投标人应在法定质疑期一次性提出针对同一采购程序环节的质疑。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二、《质疑函》的受理和答复</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1.采购人、采购代理机构收到质疑函后，将对质疑的形式和内容进行审查，如质疑函内容、格式不符合规定，需告知质疑人进行补正。</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2. 质疑人应当在法定质疑期限内进行补正并重新提交质疑函，拒不补正或者在法定期限内未重新提交质疑函的，为无效质疑，不予受理。</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3.采购人、采购代理机构答复供应商质疑应当采用书面方式并依法送达，质疑供应商或其委托代理人拒绝签收的视为已经送达。</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4.采购人负责供应商质疑答复。采购人委托采购代理机构采购的，采购代理机构在委托授权范围内作出答复。</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三、质疑处理</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1. 质疑成立的处理</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（1）对于内容、格式符合规定的质疑函，采购人、采购代理机构在收到投标供应商的书面质疑后七个工作日内作出书面答复，但答复的内容不得涉及商业秘密。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（2）对采购文件提出的质疑，依法通过澄清或者修改可以继续开展采购活动的，澄清或者修改采购文件后继续开展采购活动；否则应当修改采购文件后重新开展采购活动。</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（3）对采购过程、中标或者成交结果提出的质疑，合格供应商符合法定数量时，可以从合格的候选人中另行确定中标、成交供应商的，应当依法另行确定中标供应商；否则应当重新开展采购活动。</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质疑答复导致中标、成交结果改变的，采购人或者采购代理机构应当将有关情况书面报告本级财政部门。</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2.质疑不成立的处理</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若质疑不成立，或者成立未对中标、成交结果构成影响的，继续开展采购活动。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3.虚假质疑的处理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 xml:space="preserve">（1）投标人提出书面质疑必须有理、有据，不得恶意质疑或提交虚假质疑。否则，一经查实，采购人有权依据政府采购的有关规定，报请政府采购监管部门对该投标人进行相应的行政处罚。                          </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（2）在江苏省范围内一年累计三次以上质疑，均查无实据的供应商将按失信行为记入该注册供应商诚信档案中。</w:t>
      </w:r>
    </w:p>
    <w:p>
      <w:pPr>
        <w:pStyle w:val="9"/>
        <w:snapToGrid w:val="0"/>
        <w:spacing w:line="480" w:lineRule="exact"/>
        <w:ind w:left="0" w:firstLine="480" w:firstLineChars="200"/>
        <w:contextualSpacing/>
        <w:rPr>
          <w:rFonts w:ascii="Times New Roman" w:eastAsia="宋体"/>
          <w:kern w:val="2"/>
          <w:sz w:val="24"/>
          <w:szCs w:val="24"/>
          <w:highlight w:val="none"/>
        </w:rPr>
      </w:pPr>
      <w:r>
        <w:rPr>
          <w:rFonts w:ascii="Times New Roman" w:eastAsia="宋体"/>
          <w:kern w:val="2"/>
          <w:sz w:val="24"/>
          <w:szCs w:val="24"/>
          <w:highlight w:val="none"/>
        </w:rPr>
        <w:t>（3）采购人、采购代理机构受理质疑和答复相关咨询，联系电话详见招标公告。</w:t>
      </w:r>
    </w:p>
    <w:p>
      <w:pPr>
        <w:snapToGrid w:val="0"/>
        <w:spacing w:line="440" w:lineRule="exact"/>
        <w:jc w:val="center"/>
        <w:outlineLvl w:val="0"/>
        <w:rPr>
          <w:rFonts w:ascii="Times New Roman"/>
          <w:b/>
          <w:sz w:val="36"/>
          <w:szCs w:val="36"/>
          <w:highlight w:val="none"/>
        </w:rPr>
      </w:pPr>
      <w:r>
        <w:rPr>
          <w:rFonts w:ascii="Times New Roman"/>
          <w:b/>
          <w:sz w:val="36"/>
          <w:szCs w:val="36"/>
          <w:highlight w:val="none"/>
        </w:rPr>
        <w:br w:type="page"/>
      </w:r>
      <w:r>
        <w:rPr>
          <w:rFonts w:ascii="Times New Roman"/>
          <w:b/>
          <w:sz w:val="36"/>
          <w:szCs w:val="36"/>
          <w:highlight w:val="none"/>
        </w:rPr>
        <w:t>第七部分  投标文件组成</w:t>
      </w:r>
    </w:p>
    <w:p>
      <w:pPr>
        <w:snapToGrid w:val="0"/>
        <w:spacing w:line="440" w:lineRule="exact"/>
        <w:ind w:firstLine="555"/>
        <w:jc w:val="left"/>
        <w:rPr>
          <w:rFonts w:ascii="Times New Roman"/>
          <w:b/>
          <w:highlight w:val="none"/>
        </w:rPr>
      </w:pPr>
      <w:r>
        <w:rPr>
          <w:rFonts w:ascii="Times New Roman"/>
          <w:b/>
          <w:highlight w:val="none"/>
        </w:rPr>
        <w:t>投标文件由资格审查文件、商务技术文件、报价文件三部分组成，相关</w:t>
      </w:r>
      <w:r>
        <w:rPr>
          <w:rFonts w:ascii="Times New Roman"/>
          <w:b/>
          <w:highlight w:val="none"/>
          <w:lang w:val="zh-CN"/>
        </w:rPr>
        <w:t>格式参见附件</w:t>
      </w:r>
      <w:r>
        <w:rPr>
          <w:rFonts w:ascii="Times New Roman"/>
          <w:b/>
          <w:highlight w:val="none"/>
        </w:rPr>
        <w:t>。</w:t>
      </w:r>
    </w:p>
    <w:p>
      <w:pPr>
        <w:numPr>
          <w:ilvl w:val="0"/>
          <w:numId w:val="4"/>
        </w:numPr>
        <w:snapToGrid w:val="0"/>
        <w:spacing w:line="440" w:lineRule="exact"/>
        <w:ind w:firstLine="482" w:firstLineChars="200"/>
        <w:contextualSpacing/>
        <w:rPr>
          <w:rFonts w:ascii="Times New Roman"/>
          <w:highlight w:val="none"/>
          <w:lang w:val="zh-CN"/>
        </w:rPr>
      </w:pPr>
      <w:r>
        <w:rPr>
          <w:rFonts w:ascii="Times New Roman"/>
          <w:b/>
          <w:bCs/>
          <w:highlight w:val="none"/>
          <w:lang w:val="zh-CN"/>
        </w:rPr>
        <w:t>资格审查</w:t>
      </w:r>
      <w:r>
        <w:rPr>
          <w:rFonts w:ascii="Times New Roman"/>
          <w:b/>
          <w:bCs/>
          <w:highlight w:val="none"/>
        </w:rPr>
        <w:t>文件</w:t>
      </w:r>
      <w:r>
        <w:rPr>
          <w:rFonts w:ascii="Times New Roman"/>
          <w:b/>
          <w:bCs/>
          <w:highlight w:val="none"/>
          <w:lang w:val="zh-CN"/>
        </w:rPr>
        <w:t>（不能出现报价、商务技术</w:t>
      </w:r>
      <w:r>
        <w:rPr>
          <w:rFonts w:ascii="Times New Roman"/>
          <w:b/>
          <w:bCs/>
          <w:highlight w:val="none"/>
        </w:rPr>
        <w:t>文件</w:t>
      </w:r>
      <w:r>
        <w:rPr>
          <w:rFonts w:ascii="Times New Roman"/>
          <w:b/>
          <w:bCs/>
          <w:highlight w:val="none"/>
          <w:lang w:val="zh-CN"/>
        </w:rPr>
        <w:t>）</w:t>
      </w:r>
    </w:p>
    <w:p>
      <w:pPr>
        <w:numPr>
          <w:ilvl w:val="0"/>
          <w:numId w:val="5"/>
        </w:numPr>
        <w:snapToGrid w:val="0"/>
        <w:spacing w:line="440" w:lineRule="exact"/>
        <w:ind w:firstLine="480" w:firstLineChars="200"/>
        <w:contextualSpacing/>
        <w:rPr>
          <w:rFonts w:ascii="Times New Roman"/>
          <w:highlight w:val="none"/>
          <w:lang w:val="zh-CN"/>
        </w:rPr>
      </w:pPr>
      <w:r>
        <w:rPr>
          <w:rFonts w:ascii="Times New Roman"/>
          <w:highlight w:val="none"/>
          <w:lang w:val="zh-CN"/>
        </w:rPr>
        <w:t>投标人符合《政府采购法》第二十二条规定条件的承诺函；</w:t>
      </w:r>
    </w:p>
    <w:p>
      <w:pPr>
        <w:numPr>
          <w:ilvl w:val="0"/>
          <w:numId w:val="5"/>
        </w:numPr>
        <w:snapToGrid w:val="0"/>
        <w:spacing w:line="440" w:lineRule="exact"/>
        <w:ind w:firstLine="480" w:firstLineChars="200"/>
        <w:contextualSpacing/>
        <w:rPr>
          <w:rFonts w:ascii="Times New Roman"/>
          <w:highlight w:val="none"/>
          <w:lang w:val="zh-CN"/>
        </w:rPr>
      </w:pPr>
      <w:r>
        <w:rPr>
          <w:rFonts w:ascii="Times New Roman"/>
          <w:highlight w:val="none"/>
          <w:lang w:val="zh-CN"/>
        </w:rPr>
        <w:t>法定代表人身份证明书；</w:t>
      </w:r>
    </w:p>
    <w:p>
      <w:pPr>
        <w:numPr>
          <w:ilvl w:val="0"/>
          <w:numId w:val="5"/>
        </w:numPr>
        <w:snapToGrid w:val="0"/>
        <w:spacing w:line="440" w:lineRule="exact"/>
        <w:ind w:firstLine="480" w:firstLineChars="200"/>
        <w:contextualSpacing/>
        <w:rPr>
          <w:rFonts w:ascii="Times New Roman"/>
          <w:highlight w:val="none"/>
          <w:lang w:val="zh-CN"/>
        </w:rPr>
      </w:pPr>
      <w:r>
        <w:rPr>
          <w:rFonts w:ascii="Times New Roman"/>
          <w:highlight w:val="none"/>
          <w:lang w:val="zh-CN"/>
        </w:rPr>
        <w:t>法定代表人授权委托书原件，投标代表本人身份证复印件；</w:t>
      </w:r>
    </w:p>
    <w:p>
      <w:pPr>
        <w:numPr>
          <w:ilvl w:val="0"/>
          <w:numId w:val="5"/>
        </w:numPr>
        <w:snapToGrid w:val="0"/>
        <w:spacing w:line="440" w:lineRule="exact"/>
        <w:ind w:firstLine="480" w:firstLineChars="200"/>
        <w:contextualSpacing/>
        <w:rPr>
          <w:rFonts w:ascii="Times New Roman"/>
          <w:highlight w:val="none"/>
          <w:lang w:val="zh-CN"/>
        </w:rPr>
      </w:pPr>
      <w:r>
        <w:rPr>
          <w:rFonts w:hint="eastAsia" w:ascii="Times New Roman"/>
          <w:highlight w:val="none"/>
        </w:rPr>
        <w:t>未被“信用中国”网站（www.creditchina.gov.cn）、“中国政府采购网”（www.ccgp.gov.cn）列入失信被执行人、重大税收违法案件当事人名单、政府采购严重违法失信行为记录名单</w:t>
      </w:r>
      <w:r>
        <w:rPr>
          <w:rFonts w:hint="eastAsia" w:ascii="Times New Roman"/>
          <w:highlight w:val="none"/>
          <w:lang w:val="zh-CN"/>
        </w:rPr>
        <w:t>（代理机构现场查询，截图留存并归档）</w:t>
      </w:r>
      <w:r>
        <w:rPr>
          <w:rFonts w:ascii="Times New Roman"/>
          <w:highlight w:val="none"/>
          <w:lang w:val="zh-CN"/>
        </w:rPr>
        <w:t>；</w:t>
      </w:r>
    </w:p>
    <w:p>
      <w:pPr>
        <w:numPr>
          <w:ilvl w:val="0"/>
          <w:numId w:val="5"/>
        </w:numPr>
        <w:snapToGrid w:val="0"/>
        <w:spacing w:line="440" w:lineRule="exact"/>
        <w:ind w:firstLine="480" w:firstLineChars="200"/>
        <w:contextualSpacing/>
        <w:rPr>
          <w:rFonts w:ascii="Times New Roman"/>
          <w:highlight w:val="none"/>
          <w:lang w:val="zh-CN"/>
        </w:rPr>
      </w:pPr>
      <w:r>
        <w:rPr>
          <w:rFonts w:ascii="Times New Roman"/>
          <w:highlight w:val="none"/>
          <w:lang w:val="zh-CN"/>
        </w:rPr>
        <w:t>供应商信用承诺书；</w:t>
      </w:r>
    </w:p>
    <w:p>
      <w:pPr>
        <w:numPr>
          <w:ilvl w:val="0"/>
          <w:numId w:val="5"/>
        </w:numPr>
        <w:snapToGrid w:val="0"/>
        <w:spacing w:line="440" w:lineRule="exact"/>
        <w:ind w:firstLine="480" w:firstLineChars="200"/>
        <w:contextualSpacing/>
        <w:rPr>
          <w:rFonts w:ascii="Times New Roman"/>
          <w:highlight w:val="none"/>
          <w:lang w:val="zh-CN"/>
        </w:rPr>
      </w:pPr>
      <w:r>
        <w:rPr>
          <w:rFonts w:ascii="Times New Roman"/>
          <w:highlight w:val="none"/>
          <w:lang w:val="zh-CN"/>
        </w:rPr>
        <w:t>招标公告资格要求提供相应的佐证材料；</w:t>
      </w:r>
    </w:p>
    <w:p>
      <w:pPr>
        <w:numPr>
          <w:ilvl w:val="0"/>
          <w:numId w:val="5"/>
        </w:numPr>
        <w:snapToGrid w:val="0"/>
        <w:spacing w:line="440" w:lineRule="exact"/>
        <w:ind w:firstLine="480" w:firstLineChars="200"/>
        <w:contextualSpacing/>
        <w:rPr>
          <w:rFonts w:ascii="Times New Roman"/>
          <w:highlight w:val="none"/>
          <w:lang w:val="zh-CN"/>
        </w:rPr>
      </w:pPr>
      <w:r>
        <w:rPr>
          <w:rFonts w:ascii="Times New Roman"/>
          <w:highlight w:val="none"/>
          <w:lang w:val="zh-CN"/>
        </w:rPr>
        <w:t>其它需要提交的资格审查证明材料。</w:t>
      </w:r>
    </w:p>
    <w:p>
      <w:pPr>
        <w:snapToGrid w:val="0"/>
        <w:spacing w:line="440" w:lineRule="exact"/>
        <w:contextualSpacing/>
        <w:rPr>
          <w:rFonts w:ascii="Times New Roman"/>
          <w:highlight w:val="none"/>
        </w:rPr>
      </w:pPr>
    </w:p>
    <w:p>
      <w:pPr>
        <w:snapToGrid w:val="0"/>
        <w:spacing w:line="440" w:lineRule="exact"/>
        <w:ind w:firstLine="482" w:firstLineChars="200"/>
        <w:contextualSpacing/>
        <w:rPr>
          <w:rFonts w:ascii="Times New Roman"/>
          <w:b/>
          <w:bCs/>
          <w:highlight w:val="none"/>
          <w:lang w:val="zh-CN"/>
        </w:rPr>
      </w:pPr>
      <w:r>
        <w:rPr>
          <w:rFonts w:ascii="Times New Roman"/>
          <w:b/>
          <w:bCs/>
          <w:highlight w:val="none"/>
          <w:lang w:val="zh-CN"/>
        </w:rPr>
        <w:t>二、商务技术</w:t>
      </w:r>
      <w:r>
        <w:rPr>
          <w:rFonts w:ascii="Times New Roman"/>
          <w:b/>
          <w:bCs/>
          <w:highlight w:val="none"/>
        </w:rPr>
        <w:t>文件</w:t>
      </w:r>
      <w:r>
        <w:rPr>
          <w:rFonts w:ascii="Times New Roman"/>
          <w:b/>
          <w:bCs/>
          <w:highlight w:val="none"/>
          <w:lang w:val="zh-CN"/>
        </w:rPr>
        <w:t>（不能出现报价）</w:t>
      </w:r>
    </w:p>
    <w:p>
      <w:pPr>
        <w:numPr>
          <w:ilvl w:val="0"/>
          <w:numId w:val="6"/>
        </w:numPr>
        <w:snapToGrid w:val="0"/>
        <w:spacing w:line="440" w:lineRule="exact"/>
        <w:ind w:firstLine="480" w:firstLineChars="200"/>
        <w:contextualSpacing/>
        <w:rPr>
          <w:rFonts w:ascii="Times New Roman"/>
          <w:highlight w:val="none"/>
          <w:lang w:val="zh-CN"/>
        </w:rPr>
      </w:pPr>
      <w:r>
        <w:rPr>
          <w:rFonts w:ascii="Times New Roman"/>
          <w:highlight w:val="none"/>
          <w:lang w:val="zh-CN"/>
        </w:rPr>
        <w:t>投标人情况一览表；</w:t>
      </w:r>
    </w:p>
    <w:p>
      <w:pPr>
        <w:numPr>
          <w:ilvl w:val="0"/>
          <w:numId w:val="6"/>
        </w:numPr>
        <w:snapToGrid w:val="0"/>
        <w:spacing w:line="440" w:lineRule="exact"/>
        <w:ind w:firstLine="480" w:firstLineChars="200"/>
        <w:contextualSpacing/>
        <w:rPr>
          <w:rFonts w:ascii="Times New Roman"/>
          <w:highlight w:val="none"/>
          <w:lang w:val="zh-CN"/>
        </w:rPr>
      </w:pPr>
      <w:r>
        <w:rPr>
          <w:rFonts w:ascii="Times New Roman"/>
          <w:highlight w:val="none"/>
          <w:lang w:val="zh-CN"/>
        </w:rPr>
        <w:t>商务部分正负偏离表；</w:t>
      </w:r>
    </w:p>
    <w:p>
      <w:pPr>
        <w:numPr>
          <w:ilvl w:val="0"/>
          <w:numId w:val="6"/>
        </w:numPr>
        <w:snapToGrid w:val="0"/>
        <w:spacing w:line="440" w:lineRule="exact"/>
        <w:ind w:firstLine="480" w:firstLineChars="200"/>
        <w:contextualSpacing/>
        <w:rPr>
          <w:rFonts w:ascii="Times New Roman"/>
          <w:highlight w:val="none"/>
          <w:lang w:val="zh-CN"/>
        </w:rPr>
      </w:pPr>
      <w:r>
        <w:rPr>
          <w:rFonts w:ascii="Times New Roman"/>
          <w:highlight w:val="none"/>
          <w:lang w:val="zh-CN"/>
        </w:rPr>
        <w:t>技术部分正负偏离表；</w:t>
      </w:r>
    </w:p>
    <w:p>
      <w:pPr>
        <w:numPr>
          <w:ilvl w:val="0"/>
          <w:numId w:val="6"/>
        </w:numPr>
        <w:snapToGrid w:val="0"/>
        <w:spacing w:line="440" w:lineRule="exact"/>
        <w:ind w:firstLine="480" w:firstLineChars="200"/>
        <w:contextualSpacing/>
        <w:rPr>
          <w:rFonts w:ascii="Times New Roman"/>
          <w:highlight w:val="none"/>
          <w:lang w:val="zh-CN"/>
        </w:rPr>
      </w:pPr>
      <w:r>
        <w:rPr>
          <w:rFonts w:ascii="Times New Roman"/>
          <w:highlight w:val="none"/>
          <w:lang w:val="zh-CN"/>
        </w:rPr>
        <w:t>投标方案、货物（服务）清单。具有项目、数量、品牌、型号、配置性能等；</w:t>
      </w:r>
    </w:p>
    <w:p>
      <w:pPr>
        <w:numPr>
          <w:ilvl w:val="0"/>
          <w:numId w:val="6"/>
        </w:numPr>
        <w:snapToGrid w:val="0"/>
        <w:spacing w:line="440" w:lineRule="exact"/>
        <w:ind w:firstLine="480" w:firstLineChars="200"/>
        <w:contextualSpacing/>
        <w:rPr>
          <w:rFonts w:ascii="Times New Roman"/>
          <w:highlight w:val="none"/>
          <w:lang w:val="zh-CN"/>
        </w:rPr>
      </w:pPr>
      <w:r>
        <w:rPr>
          <w:rFonts w:ascii="Times New Roman"/>
          <w:highlight w:val="none"/>
          <w:lang w:val="zh-CN"/>
        </w:rPr>
        <w:t>现场勘察承诺函（如有）；</w:t>
      </w:r>
    </w:p>
    <w:p>
      <w:pPr>
        <w:numPr>
          <w:ilvl w:val="0"/>
          <w:numId w:val="6"/>
        </w:numPr>
        <w:snapToGrid w:val="0"/>
        <w:spacing w:line="440" w:lineRule="exact"/>
        <w:ind w:firstLine="480" w:firstLineChars="200"/>
        <w:contextualSpacing/>
        <w:rPr>
          <w:rFonts w:ascii="Times New Roman"/>
          <w:highlight w:val="none"/>
          <w:lang w:val="zh-CN"/>
        </w:rPr>
      </w:pPr>
      <w:r>
        <w:rPr>
          <w:rFonts w:ascii="Times New Roman"/>
          <w:highlight w:val="none"/>
          <w:lang w:val="zh-CN"/>
        </w:rPr>
        <w:t>商务技术评分标准中须提供的相关得分佐证材料；</w:t>
      </w:r>
    </w:p>
    <w:p>
      <w:pPr>
        <w:numPr>
          <w:ilvl w:val="0"/>
          <w:numId w:val="6"/>
        </w:numPr>
        <w:snapToGrid w:val="0"/>
        <w:spacing w:line="440" w:lineRule="exact"/>
        <w:ind w:firstLine="480" w:firstLineChars="200"/>
        <w:contextualSpacing/>
        <w:rPr>
          <w:rFonts w:ascii="Times New Roman"/>
          <w:highlight w:val="none"/>
          <w:lang w:val="zh-CN"/>
        </w:rPr>
      </w:pPr>
      <w:r>
        <w:rPr>
          <w:rFonts w:ascii="Times New Roman"/>
          <w:highlight w:val="none"/>
          <w:lang w:val="zh-CN"/>
        </w:rPr>
        <w:t>投标人认为需要提交的其他商务技术材料。</w:t>
      </w:r>
    </w:p>
    <w:p>
      <w:pPr>
        <w:snapToGrid w:val="0"/>
        <w:spacing w:line="440" w:lineRule="exact"/>
        <w:ind w:firstLine="463" w:firstLineChars="192"/>
        <w:contextualSpacing/>
        <w:rPr>
          <w:rFonts w:ascii="Times New Roman"/>
          <w:b/>
          <w:bCs/>
          <w:highlight w:val="none"/>
          <w:lang w:val="zh-CN"/>
        </w:rPr>
      </w:pPr>
      <w:r>
        <w:rPr>
          <w:rFonts w:ascii="Times New Roman"/>
          <w:b/>
          <w:bCs/>
          <w:highlight w:val="none"/>
          <w:lang w:val="zh-CN"/>
        </w:rPr>
        <w:t>三、</w:t>
      </w:r>
      <w:r>
        <w:rPr>
          <w:rFonts w:ascii="Times New Roman"/>
          <w:b/>
          <w:bCs/>
          <w:highlight w:val="none"/>
        </w:rPr>
        <w:t>报价文件</w:t>
      </w:r>
    </w:p>
    <w:p>
      <w:pPr>
        <w:numPr>
          <w:ilvl w:val="0"/>
          <w:numId w:val="7"/>
        </w:numPr>
        <w:snapToGrid w:val="0"/>
        <w:spacing w:line="440" w:lineRule="exact"/>
        <w:ind w:firstLine="480" w:firstLineChars="200"/>
        <w:contextualSpacing/>
        <w:rPr>
          <w:rFonts w:ascii="Times New Roman"/>
          <w:highlight w:val="none"/>
          <w:lang w:val="zh-CN"/>
        </w:rPr>
      </w:pPr>
      <w:r>
        <w:rPr>
          <w:rFonts w:ascii="Times New Roman"/>
          <w:highlight w:val="none"/>
          <w:lang w:val="zh-CN"/>
        </w:rPr>
        <w:t>开标一览表；</w:t>
      </w:r>
    </w:p>
    <w:p>
      <w:pPr>
        <w:numPr>
          <w:ilvl w:val="0"/>
          <w:numId w:val="7"/>
        </w:numPr>
        <w:snapToGrid w:val="0"/>
        <w:spacing w:line="440" w:lineRule="exact"/>
        <w:ind w:firstLine="480" w:firstLineChars="200"/>
        <w:contextualSpacing/>
        <w:rPr>
          <w:rFonts w:ascii="Times New Roman"/>
          <w:highlight w:val="none"/>
          <w:lang w:val="zh-CN"/>
        </w:rPr>
      </w:pPr>
      <w:r>
        <w:rPr>
          <w:rFonts w:ascii="Times New Roman"/>
          <w:highlight w:val="none"/>
          <w:lang w:val="zh-CN"/>
        </w:rPr>
        <w:t>分项报价明细表。</w:t>
      </w:r>
    </w:p>
    <w:p>
      <w:pPr>
        <w:snapToGrid w:val="0"/>
        <w:spacing w:line="440" w:lineRule="exact"/>
        <w:contextualSpacing/>
        <w:rPr>
          <w:rFonts w:ascii="Times New Roman" w:eastAsia="方正黑体_GBK"/>
          <w:sz w:val="32"/>
          <w:szCs w:val="32"/>
          <w:highlight w:val="none"/>
          <w:lang w:val="zh-CN"/>
        </w:rPr>
      </w:pPr>
      <w:r>
        <w:rPr>
          <w:rFonts w:ascii="Times New Roman" w:eastAsia="方正黑体_GBK"/>
          <w:sz w:val="32"/>
          <w:szCs w:val="32"/>
          <w:highlight w:val="none"/>
          <w:lang w:val="zh-CN"/>
        </w:rPr>
        <w:br w:type="page"/>
      </w:r>
      <w:r>
        <w:rPr>
          <w:rFonts w:ascii="Times New Roman" w:eastAsia="方正黑体_GBK"/>
          <w:sz w:val="32"/>
          <w:szCs w:val="32"/>
          <w:highlight w:val="none"/>
          <w:lang w:val="zh-CN"/>
        </w:rPr>
        <w:t>附件1</w:t>
      </w:r>
    </w:p>
    <w:p>
      <w:pPr>
        <w:jc w:val="center"/>
        <w:rPr>
          <w:rFonts w:ascii="Times New Roman"/>
          <w:b/>
          <w:color w:val="000000"/>
          <w:sz w:val="30"/>
          <w:szCs w:val="30"/>
          <w:highlight w:val="none"/>
        </w:rPr>
      </w:pPr>
      <w:r>
        <w:rPr>
          <w:rFonts w:ascii="Times New Roman"/>
          <w:b/>
          <w:color w:val="000000"/>
          <w:sz w:val="30"/>
          <w:szCs w:val="30"/>
          <w:highlight w:val="none"/>
        </w:rPr>
        <w:t>投标人符合《政府采购法》第二十二条规定条件的声明函</w:t>
      </w:r>
    </w:p>
    <w:p>
      <w:pPr>
        <w:spacing w:line="460" w:lineRule="exact"/>
        <w:rPr>
          <w:rFonts w:ascii="Times New Roman"/>
          <w:b/>
          <w:bCs/>
          <w:color w:val="000000"/>
          <w:sz w:val="44"/>
          <w:szCs w:val="44"/>
          <w:highlight w:val="none"/>
        </w:rPr>
      </w:pPr>
      <w:r>
        <w:rPr>
          <w:rFonts w:ascii="Times New Roman"/>
          <w:b/>
          <w:bCs/>
          <w:color w:val="000000"/>
          <w:szCs w:val="21"/>
          <w:highlight w:val="none"/>
        </w:rPr>
        <w:t xml:space="preserve">                       </w:t>
      </w:r>
      <w:r>
        <w:rPr>
          <w:rFonts w:ascii="Times New Roman"/>
          <w:b/>
          <w:bCs/>
          <w:color w:val="000000"/>
          <w:sz w:val="44"/>
          <w:szCs w:val="44"/>
          <w:highlight w:val="none"/>
        </w:rPr>
        <w:t xml:space="preserve">   </w:t>
      </w:r>
    </w:p>
    <w:p>
      <w:pPr>
        <w:spacing w:line="520" w:lineRule="exact"/>
        <w:ind w:firstLine="480" w:firstLineChars="200"/>
        <w:rPr>
          <w:rFonts w:ascii="Times New Roman"/>
          <w:b/>
          <w:bCs/>
          <w:color w:val="000000"/>
          <w:highlight w:val="none"/>
        </w:rPr>
      </w:pPr>
      <w:r>
        <w:rPr>
          <w:rFonts w:ascii="Times New Roman"/>
          <w:bCs/>
          <w:color w:val="000000"/>
          <w:highlight w:val="none"/>
        </w:rPr>
        <w:t>我单位参加</w:t>
      </w:r>
      <w:r>
        <w:rPr>
          <w:rFonts w:ascii="Times New Roman"/>
          <w:bCs/>
          <w:color w:val="000000"/>
          <w:szCs w:val="21"/>
          <w:highlight w:val="none"/>
          <w:u w:val="single"/>
        </w:rPr>
        <w:t>________________ _</w:t>
      </w:r>
      <w:r>
        <w:rPr>
          <w:rFonts w:ascii="Times New Roman"/>
          <w:bCs/>
          <w:color w:val="000000"/>
          <w:szCs w:val="21"/>
          <w:highlight w:val="none"/>
        </w:rPr>
        <w:t>（项目名称），</w:t>
      </w:r>
      <w:r>
        <w:rPr>
          <w:rFonts w:ascii="Times New Roman"/>
          <w:bCs/>
          <w:color w:val="000000"/>
          <w:szCs w:val="21"/>
          <w:highlight w:val="none"/>
          <w:u w:val="single"/>
        </w:rPr>
        <w:t>_______ __________</w:t>
      </w:r>
      <w:r>
        <w:rPr>
          <w:rFonts w:ascii="Times New Roman"/>
          <w:bCs/>
          <w:color w:val="000000"/>
          <w:szCs w:val="21"/>
          <w:highlight w:val="none"/>
        </w:rPr>
        <w:t>（项目编号）投标活动。针对《中华人民共和国政府采购法》第二十二条规定做出如下声明：</w:t>
      </w:r>
    </w:p>
    <w:p>
      <w:pPr>
        <w:spacing w:line="520" w:lineRule="exact"/>
        <w:ind w:firstLine="482"/>
        <w:rPr>
          <w:rFonts w:ascii="Times New Roman"/>
          <w:color w:val="000000"/>
          <w:highlight w:val="none"/>
        </w:rPr>
      </w:pPr>
      <w:r>
        <w:rPr>
          <w:rFonts w:ascii="Times New Roman"/>
          <w:bCs/>
          <w:color w:val="000000"/>
          <w:szCs w:val="21"/>
          <w:highlight w:val="none"/>
        </w:rPr>
        <w:t>1.我单位具有独立承担民事责任的能力；</w:t>
      </w:r>
    </w:p>
    <w:p>
      <w:pPr>
        <w:spacing w:line="520" w:lineRule="exact"/>
        <w:ind w:firstLine="482"/>
        <w:rPr>
          <w:rFonts w:ascii="Times New Roman"/>
          <w:color w:val="000000"/>
          <w:highlight w:val="none"/>
        </w:rPr>
      </w:pPr>
      <w:r>
        <w:rPr>
          <w:rFonts w:ascii="Times New Roman"/>
          <w:color w:val="000000"/>
          <w:highlight w:val="none"/>
        </w:rPr>
        <w:t>2.我单位具有良好的商业信誉和健全的财务会计制度；</w:t>
      </w:r>
    </w:p>
    <w:p>
      <w:pPr>
        <w:spacing w:line="520" w:lineRule="exact"/>
        <w:ind w:firstLine="482"/>
        <w:rPr>
          <w:rFonts w:ascii="Times New Roman"/>
          <w:color w:val="000000"/>
          <w:highlight w:val="none"/>
        </w:rPr>
      </w:pPr>
      <w:r>
        <w:rPr>
          <w:rFonts w:ascii="Times New Roman"/>
          <w:color w:val="000000"/>
          <w:highlight w:val="none"/>
        </w:rPr>
        <w:t>3.我单位具有履行合同所必需的设备和专业技术能力；</w:t>
      </w:r>
    </w:p>
    <w:p>
      <w:pPr>
        <w:spacing w:line="520" w:lineRule="exact"/>
        <w:ind w:firstLine="482"/>
        <w:rPr>
          <w:rFonts w:ascii="Times New Roman"/>
          <w:color w:val="000000"/>
          <w:highlight w:val="none"/>
        </w:rPr>
      </w:pPr>
      <w:r>
        <w:rPr>
          <w:rFonts w:ascii="Times New Roman"/>
          <w:color w:val="000000"/>
          <w:highlight w:val="none"/>
        </w:rPr>
        <w:t>4.我单位有依法缴纳税收和社会保障资金的良好记录；</w:t>
      </w:r>
    </w:p>
    <w:p>
      <w:pPr>
        <w:spacing w:line="520" w:lineRule="exact"/>
        <w:ind w:firstLine="482"/>
        <w:rPr>
          <w:rFonts w:ascii="Times New Roman"/>
          <w:color w:val="000000"/>
          <w:highlight w:val="none"/>
        </w:rPr>
      </w:pPr>
      <w:r>
        <w:rPr>
          <w:rFonts w:ascii="Times New Roman"/>
          <w:color w:val="000000"/>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Times New Roman"/>
          <w:color w:val="000000"/>
          <w:highlight w:val="none"/>
        </w:rPr>
      </w:pPr>
      <w:r>
        <w:rPr>
          <w:rFonts w:ascii="Times New Roman"/>
          <w:color w:val="000000"/>
          <w:highlight w:val="none"/>
        </w:rPr>
        <w:t>6.我单位满足法律、行政法规规定的其他条件。</w:t>
      </w:r>
    </w:p>
    <w:p>
      <w:pPr>
        <w:spacing w:line="500" w:lineRule="exact"/>
        <w:ind w:firstLine="482"/>
        <w:rPr>
          <w:rFonts w:ascii="Times New Roman"/>
          <w:color w:val="000000"/>
          <w:highlight w:val="none"/>
        </w:rPr>
      </w:pPr>
    </w:p>
    <w:p>
      <w:pPr>
        <w:spacing w:line="500" w:lineRule="exact"/>
        <w:rPr>
          <w:rFonts w:ascii="Times New Roman"/>
          <w:color w:val="000000"/>
          <w:highlight w:val="none"/>
        </w:rPr>
      </w:pPr>
    </w:p>
    <w:p>
      <w:pPr>
        <w:spacing w:line="500" w:lineRule="exact"/>
        <w:rPr>
          <w:rFonts w:ascii="Times New Roman"/>
          <w:bCs/>
          <w:color w:val="000000"/>
          <w:szCs w:val="21"/>
          <w:highlight w:val="none"/>
        </w:rPr>
      </w:pPr>
    </w:p>
    <w:p>
      <w:pPr>
        <w:spacing w:line="500" w:lineRule="exact"/>
        <w:rPr>
          <w:rFonts w:ascii="Times New Roman"/>
          <w:bCs/>
          <w:color w:val="000000"/>
          <w:szCs w:val="21"/>
          <w:highlight w:val="none"/>
        </w:rPr>
      </w:pPr>
    </w:p>
    <w:p>
      <w:pPr>
        <w:spacing w:line="500" w:lineRule="exact"/>
        <w:rPr>
          <w:rFonts w:ascii="Times New Roman"/>
          <w:bCs/>
          <w:color w:val="000000"/>
          <w:szCs w:val="21"/>
          <w:highlight w:val="none"/>
        </w:rPr>
      </w:pPr>
    </w:p>
    <w:p>
      <w:pPr>
        <w:spacing w:line="460" w:lineRule="exact"/>
        <w:jc w:val="center"/>
        <w:rPr>
          <w:rFonts w:ascii="Times New Roman"/>
          <w:bCs/>
          <w:color w:val="000000"/>
          <w:szCs w:val="21"/>
          <w:highlight w:val="none"/>
        </w:rPr>
      </w:pPr>
      <w:r>
        <w:rPr>
          <w:rFonts w:ascii="Times New Roman"/>
          <w:bCs/>
          <w:color w:val="000000"/>
          <w:szCs w:val="21"/>
          <w:highlight w:val="none"/>
        </w:rPr>
        <w:t xml:space="preserve">                                             承诺人名称（公章）：</w:t>
      </w:r>
    </w:p>
    <w:p>
      <w:pPr>
        <w:spacing w:line="460" w:lineRule="exact"/>
        <w:jc w:val="right"/>
        <w:rPr>
          <w:rFonts w:ascii="Times New Roman"/>
          <w:bCs/>
          <w:color w:val="000000"/>
          <w:szCs w:val="21"/>
          <w:highlight w:val="none"/>
        </w:rPr>
      </w:pPr>
      <w:r>
        <w:rPr>
          <w:rFonts w:ascii="Times New Roman"/>
          <w:bCs/>
          <w:color w:val="000000"/>
          <w:szCs w:val="21"/>
          <w:highlight w:val="none"/>
        </w:rPr>
        <w:t xml:space="preserve">    </w:t>
      </w:r>
    </w:p>
    <w:p>
      <w:pPr>
        <w:spacing w:line="460" w:lineRule="exact"/>
        <w:jc w:val="right"/>
        <w:rPr>
          <w:rFonts w:ascii="Times New Roman"/>
          <w:bCs/>
          <w:color w:val="000000"/>
          <w:szCs w:val="21"/>
          <w:highlight w:val="none"/>
        </w:rPr>
      </w:pPr>
      <w:r>
        <w:rPr>
          <w:rFonts w:ascii="Times New Roman"/>
          <w:bCs/>
          <w:color w:val="000000"/>
          <w:szCs w:val="21"/>
          <w:highlight w:val="none"/>
        </w:rPr>
        <w:t xml:space="preserve">                                 日期：</w:t>
      </w:r>
      <w:r>
        <w:rPr>
          <w:rFonts w:ascii="Times New Roman"/>
          <w:bCs/>
          <w:color w:val="000000"/>
          <w:szCs w:val="21"/>
          <w:highlight w:val="none"/>
          <w:u w:val="single"/>
        </w:rPr>
        <w:t>______</w:t>
      </w:r>
      <w:r>
        <w:rPr>
          <w:rFonts w:ascii="Times New Roman"/>
          <w:bCs/>
          <w:color w:val="000000"/>
          <w:szCs w:val="21"/>
          <w:highlight w:val="none"/>
        </w:rPr>
        <w:t>年</w:t>
      </w:r>
      <w:r>
        <w:rPr>
          <w:rFonts w:ascii="Times New Roman"/>
          <w:bCs/>
          <w:color w:val="000000"/>
          <w:szCs w:val="21"/>
          <w:highlight w:val="none"/>
          <w:u w:val="single"/>
        </w:rPr>
        <w:t xml:space="preserve">    </w:t>
      </w:r>
      <w:r>
        <w:rPr>
          <w:rFonts w:ascii="Times New Roman"/>
          <w:bCs/>
          <w:color w:val="000000"/>
          <w:szCs w:val="21"/>
          <w:highlight w:val="none"/>
        </w:rPr>
        <w:t>月</w:t>
      </w:r>
      <w:r>
        <w:rPr>
          <w:rFonts w:ascii="Times New Roman"/>
          <w:bCs/>
          <w:color w:val="000000"/>
          <w:szCs w:val="21"/>
          <w:highlight w:val="none"/>
          <w:u w:val="single"/>
        </w:rPr>
        <w:t xml:space="preserve">    </w:t>
      </w:r>
      <w:r>
        <w:rPr>
          <w:rFonts w:ascii="Times New Roman"/>
          <w:bCs/>
          <w:color w:val="000000"/>
          <w:szCs w:val="21"/>
          <w:highlight w:val="none"/>
        </w:rPr>
        <w:t>日</w:t>
      </w:r>
    </w:p>
    <w:p>
      <w:pPr>
        <w:rPr>
          <w:rFonts w:ascii="Times New Roman"/>
          <w:szCs w:val="21"/>
          <w:highlight w:val="none"/>
        </w:rPr>
      </w:pPr>
    </w:p>
    <w:p>
      <w:pPr>
        <w:snapToGrid w:val="0"/>
        <w:spacing w:line="400" w:lineRule="exact"/>
        <w:contextualSpacing/>
        <w:rPr>
          <w:rFonts w:ascii="Times New Roman"/>
          <w:b/>
          <w:sz w:val="28"/>
          <w:szCs w:val="28"/>
          <w:highlight w:val="none"/>
          <w:lang w:val="zh-CN"/>
        </w:rPr>
      </w:pPr>
    </w:p>
    <w:p>
      <w:pPr>
        <w:snapToGrid w:val="0"/>
        <w:spacing w:line="400" w:lineRule="exact"/>
        <w:contextualSpacing/>
        <w:rPr>
          <w:rFonts w:ascii="Times New Roman"/>
          <w:b/>
          <w:sz w:val="28"/>
          <w:szCs w:val="28"/>
          <w:highlight w:val="none"/>
          <w:lang w:val="zh-CN"/>
        </w:rPr>
      </w:pPr>
    </w:p>
    <w:p>
      <w:pPr>
        <w:snapToGrid w:val="0"/>
        <w:spacing w:line="400" w:lineRule="exact"/>
        <w:contextualSpacing/>
        <w:rPr>
          <w:rFonts w:ascii="Times New Roman" w:eastAsia="方正黑体_GBK"/>
          <w:sz w:val="32"/>
          <w:szCs w:val="32"/>
          <w:highlight w:val="none"/>
          <w:lang w:val="zh-CN"/>
        </w:rPr>
      </w:pPr>
    </w:p>
    <w:p>
      <w:pPr>
        <w:snapToGrid w:val="0"/>
        <w:spacing w:line="400" w:lineRule="exact"/>
        <w:contextualSpacing/>
        <w:rPr>
          <w:rFonts w:ascii="Times New Roman" w:eastAsia="方正黑体_GBK"/>
          <w:sz w:val="32"/>
          <w:szCs w:val="32"/>
          <w:highlight w:val="none"/>
          <w:lang w:val="zh-CN"/>
        </w:rPr>
      </w:pPr>
    </w:p>
    <w:p>
      <w:pPr>
        <w:snapToGrid w:val="0"/>
        <w:spacing w:line="400" w:lineRule="exact"/>
        <w:contextualSpacing/>
        <w:rPr>
          <w:rFonts w:ascii="Times New Roman" w:eastAsia="方正黑体_GBK"/>
          <w:sz w:val="32"/>
          <w:szCs w:val="32"/>
          <w:highlight w:val="none"/>
          <w:lang w:val="zh-CN"/>
        </w:rPr>
      </w:pPr>
    </w:p>
    <w:p>
      <w:pPr>
        <w:snapToGrid w:val="0"/>
        <w:spacing w:line="400" w:lineRule="exact"/>
        <w:contextualSpacing/>
        <w:rPr>
          <w:rFonts w:ascii="Times New Roman" w:eastAsia="方正黑体_GBK"/>
          <w:sz w:val="32"/>
          <w:szCs w:val="32"/>
          <w:highlight w:val="none"/>
          <w:lang w:val="zh-CN"/>
        </w:rPr>
      </w:pPr>
      <w:r>
        <w:rPr>
          <w:rFonts w:ascii="Times New Roman" w:eastAsia="方正黑体_GBK"/>
          <w:sz w:val="32"/>
          <w:szCs w:val="32"/>
          <w:highlight w:val="none"/>
          <w:lang w:val="zh-CN"/>
        </w:rPr>
        <w:t>附件2</w:t>
      </w:r>
    </w:p>
    <w:p>
      <w:pPr>
        <w:pStyle w:val="22"/>
        <w:spacing w:line="560" w:lineRule="exact"/>
        <w:jc w:val="center"/>
        <w:rPr>
          <w:b/>
          <w:bCs/>
          <w:sz w:val="32"/>
          <w:szCs w:val="32"/>
          <w:highlight w:val="none"/>
        </w:rPr>
      </w:pPr>
      <w:r>
        <w:rPr>
          <w:b/>
          <w:bCs/>
          <w:sz w:val="32"/>
          <w:szCs w:val="32"/>
          <w:highlight w:val="none"/>
        </w:rPr>
        <w:t>法定代表人身份证明</w:t>
      </w:r>
    </w:p>
    <w:p>
      <w:pPr>
        <w:spacing w:line="480" w:lineRule="exact"/>
        <w:rPr>
          <w:rFonts w:ascii="Times New Roman"/>
          <w:highlight w:val="none"/>
        </w:rPr>
      </w:pPr>
    </w:p>
    <w:p>
      <w:pPr>
        <w:spacing w:line="480" w:lineRule="exact"/>
        <w:ind w:firstLine="480" w:firstLineChars="200"/>
        <w:rPr>
          <w:rFonts w:ascii="Times New Roman"/>
          <w:highlight w:val="none"/>
        </w:rPr>
      </w:pPr>
      <w:r>
        <w:rPr>
          <w:rFonts w:ascii="Times New Roman"/>
          <w:highlight w:val="none"/>
          <w:u w:val="single"/>
        </w:rPr>
        <w:t xml:space="preserve">        </w:t>
      </w:r>
      <w:r>
        <w:rPr>
          <w:rFonts w:ascii="Times New Roman"/>
          <w:highlight w:val="none"/>
        </w:rPr>
        <w:t>先生/女士： 现任我单位</w:t>
      </w:r>
      <w:r>
        <w:rPr>
          <w:rFonts w:ascii="Times New Roman"/>
          <w:highlight w:val="none"/>
          <w:u w:val="single"/>
        </w:rPr>
        <w:t xml:space="preserve">        </w:t>
      </w:r>
      <w:r>
        <w:rPr>
          <w:rFonts w:ascii="Times New Roman"/>
          <w:highlight w:val="none"/>
        </w:rPr>
        <w:t>职务，为法定代表人，特此证明。</w:t>
      </w:r>
    </w:p>
    <w:p>
      <w:pPr>
        <w:spacing w:line="480" w:lineRule="exact"/>
        <w:ind w:firstLine="480"/>
        <w:rPr>
          <w:rFonts w:ascii="Times New Roman"/>
          <w:highlight w:val="none"/>
          <w:u w:val="single"/>
        </w:rPr>
      </w:pPr>
      <w:r>
        <w:rPr>
          <w:rFonts w:ascii="Times New Roman"/>
          <w:highlight w:val="none"/>
        </w:rPr>
        <w:t>身份证号码：</w:t>
      </w:r>
      <w:r>
        <w:rPr>
          <w:rFonts w:ascii="Times New Roman"/>
          <w:highlight w:val="none"/>
          <w:u w:val="single"/>
        </w:rPr>
        <w:t xml:space="preserve">                                               </w:t>
      </w:r>
    </w:p>
    <w:p>
      <w:pPr>
        <w:spacing w:line="480" w:lineRule="exact"/>
        <w:ind w:firstLine="480"/>
        <w:rPr>
          <w:rFonts w:ascii="Times New Roman"/>
          <w:highlight w:val="none"/>
        </w:rPr>
      </w:pPr>
    </w:p>
    <w:p>
      <w:pPr>
        <w:pStyle w:val="23"/>
        <w:spacing w:line="600" w:lineRule="exact"/>
        <w:rPr>
          <w:b/>
          <w:sz w:val="24"/>
          <w:highlight w:val="none"/>
        </w:rPr>
      </w:pPr>
      <w:r>
        <w:rPr>
          <w:b/>
          <w:sz w:val="24"/>
          <w:highlight w:val="none"/>
        </w:rPr>
        <w:t>注：提供法定代表人的身份证复印件盖公章</w:t>
      </w:r>
    </w:p>
    <w:p>
      <w:pPr>
        <w:spacing w:line="480" w:lineRule="exact"/>
        <w:ind w:firstLine="480" w:firstLineChars="200"/>
        <w:rPr>
          <w:rFonts w:ascii="Times New Roman" w:eastAsia="仿宋_GB2312"/>
          <w:highlight w:val="none"/>
        </w:rPr>
      </w:pPr>
    </w:p>
    <w:p>
      <w:pPr>
        <w:rPr>
          <w:rFonts w:ascii="Times New Roman"/>
          <w:highlight w:val="none"/>
        </w:rPr>
      </w:pPr>
      <w:r>
        <w:rPr>
          <w:rFonts w:ascii="Times New Roman"/>
          <w:highlight w:val="none"/>
        </w:rPr>
        <w:t xml:space="preserve">     </w:t>
      </w: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ind w:firstLine="540" w:firstLineChars="192"/>
        <w:contextualSpacing/>
        <w:rPr>
          <w:rFonts w:ascii="Times New Roman"/>
          <w:b/>
          <w:sz w:val="28"/>
          <w:szCs w:val="28"/>
          <w:highlight w:val="none"/>
          <w:lang w:val="zh-CN"/>
        </w:rPr>
      </w:pPr>
    </w:p>
    <w:p>
      <w:pPr>
        <w:snapToGrid w:val="0"/>
        <w:spacing w:line="400" w:lineRule="exact"/>
        <w:contextualSpacing/>
        <w:rPr>
          <w:rFonts w:ascii="Times New Roman"/>
          <w:b/>
          <w:sz w:val="28"/>
          <w:szCs w:val="28"/>
          <w:highlight w:val="none"/>
          <w:lang w:val="zh-CN"/>
        </w:rPr>
      </w:pPr>
    </w:p>
    <w:p>
      <w:pPr>
        <w:snapToGrid w:val="0"/>
        <w:spacing w:line="400" w:lineRule="exact"/>
        <w:contextualSpacing/>
        <w:rPr>
          <w:rFonts w:ascii="Times New Roman" w:eastAsia="方正黑体_GBK"/>
          <w:sz w:val="32"/>
          <w:szCs w:val="32"/>
          <w:highlight w:val="none"/>
          <w:lang w:val="zh-CN"/>
        </w:rPr>
      </w:pPr>
    </w:p>
    <w:p>
      <w:pPr>
        <w:snapToGrid w:val="0"/>
        <w:spacing w:line="400" w:lineRule="exact"/>
        <w:contextualSpacing/>
        <w:rPr>
          <w:rFonts w:ascii="Times New Roman" w:eastAsia="方正黑体_GBK"/>
          <w:sz w:val="32"/>
          <w:szCs w:val="32"/>
          <w:highlight w:val="none"/>
          <w:lang w:val="zh-CN"/>
        </w:rPr>
      </w:pPr>
      <w:r>
        <w:rPr>
          <w:rFonts w:ascii="Times New Roman" w:eastAsia="方正黑体_GBK"/>
          <w:sz w:val="32"/>
          <w:szCs w:val="32"/>
          <w:highlight w:val="none"/>
          <w:lang w:val="zh-CN"/>
        </w:rPr>
        <w:t>附件3</w:t>
      </w:r>
    </w:p>
    <w:p>
      <w:pPr>
        <w:jc w:val="center"/>
        <w:rPr>
          <w:rFonts w:ascii="Times New Roman"/>
          <w:b/>
          <w:bCs/>
          <w:kern w:val="2"/>
          <w:sz w:val="32"/>
          <w:szCs w:val="32"/>
          <w:highlight w:val="none"/>
        </w:rPr>
      </w:pPr>
      <w:r>
        <w:rPr>
          <w:rFonts w:ascii="Times New Roman"/>
          <w:b/>
          <w:bCs/>
          <w:kern w:val="2"/>
          <w:sz w:val="32"/>
          <w:szCs w:val="32"/>
          <w:highlight w:val="none"/>
        </w:rPr>
        <w:t>法定代表人授权委托书</w:t>
      </w:r>
    </w:p>
    <w:p>
      <w:pPr>
        <w:rPr>
          <w:rFonts w:ascii="Times New Roman"/>
          <w:sz w:val="32"/>
          <w:szCs w:val="32"/>
          <w:highlight w:val="none"/>
        </w:rPr>
      </w:pPr>
    </w:p>
    <w:p>
      <w:pPr>
        <w:ind w:firstLine="560" w:firstLineChars="200"/>
        <w:rPr>
          <w:rFonts w:ascii="Times New Roman"/>
          <w:sz w:val="28"/>
          <w:szCs w:val="28"/>
          <w:highlight w:val="none"/>
        </w:rPr>
      </w:pPr>
      <w:r>
        <w:rPr>
          <w:rFonts w:ascii="Times New Roman"/>
          <w:sz w:val="28"/>
          <w:szCs w:val="28"/>
          <w:highlight w:val="none"/>
        </w:rPr>
        <w:t>本人------（姓名）系————（授权单位名称）的法定代表人，现委托-------（姓名）（身份证号——————）为我方代理人，以我方名义全权处理与本次采购项目（编号：----------）有关的一切事务，其法律后果由我方承担。</w:t>
      </w:r>
    </w:p>
    <w:p>
      <w:pPr>
        <w:ind w:firstLine="560" w:firstLineChars="200"/>
        <w:rPr>
          <w:rFonts w:ascii="Times New Roman"/>
          <w:sz w:val="28"/>
          <w:szCs w:val="28"/>
          <w:highlight w:val="none"/>
        </w:rPr>
      </w:pPr>
      <w:r>
        <w:rPr>
          <w:rFonts w:ascii="Times New Roman"/>
          <w:sz w:val="28"/>
          <w:szCs w:val="28"/>
          <w:highlight w:val="none"/>
        </w:rPr>
        <w:t>本授权书于---年---月---日起生效。代理人无转委托权。</w:t>
      </w:r>
    </w:p>
    <w:p>
      <w:pPr>
        <w:ind w:firstLine="420" w:firstLineChars="150"/>
        <w:rPr>
          <w:rFonts w:ascii="Times New Roman"/>
          <w:sz w:val="28"/>
          <w:szCs w:val="28"/>
          <w:highlight w:val="none"/>
        </w:rPr>
      </w:pPr>
      <w:r>
        <w:rPr>
          <w:rFonts w:ascii="Times New Roman"/>
          <w:sz w:val="28"/>
          <w:szCs w:val="28"/>
          <w:highlight w:val="none"/>
        </w:rPr>
        <w:t>代理人(被授权人):------</w:t>
      </w:r>
    </w:p>
    <w:p>
      <w:pPr>
        <w:ind w:firstLine="420" w:firstLineChars="150"/>
        <w:rPr>
          <w:rFonts w:ascii="Times New Roman"/>
          <w:sz w:val="28"/>
          <w:szCs w:val="28"/>
          <w:highlight w:val="none"/>
        </w:rPr>
      </w:pPr>
      <w:r>
        <w:rPr>
          <w:rFonts w:ascii="Times New Roman"/>
          <w:sz w:val="28"/>
          <w:szCs w:val="28"/>
          <w:highlight w:val="none"/>
        </w:rPr>
        <w:t>授权单位名称（盖章）：-----</w:t>
      </w:r>
    </w:p>
    <w:p>
      <w:pPr>
        <w:ind w:firstLine="420" w:firstLineChars="150"/>
        <w:rPr>
          <w:rFonts w:ascii="Times New Roman"/>
          <w:sz w:val="28"/>
          <w:szCs w:val="28"/>
          <w:highlight w:val="none"/>
        </w:rPr>
      </w:pPr>
      <w:r>
        <w:rPr>
          <w:rFonts w:ascii="Times New Roman"/>
          <w:sz w:val="28"/>
          <w:szCs w:val="28"/>
          <w:highlight w:val="none"/>
        </w:rPr>
        <w:t>授权单位法定代表人（签字或盖章）：-----</w:t>
      </w:r>
    </w:p>
    <w:p>
      <w:pPr>
        <w:jc w:val="right"/>
        <w:rPr>
          <w:rFonts w:ascii="Times New Roman"/>
          <w:sz w:val="28"/>
          <w:szCs w:val="28"/>
          <w:highlight w:val="none"/>
        </w:rPr>
      </w:pPr>
    </w:p>
    <w:p>
      <w:pPr>
        <w:jc w:val="right"/>
        <w:rPr>
          <w:rFonts w:ascii="Times New Roman"/>
          <w:sz w:val="28"/>
          <w:szCs w:val="28"/>
          <w:highlight w:val="none"/>
        </w:rPr>
      </w:pPr>
      <w:r>
        <w:rPr>
          <w:rFonts w:ascii="Times New Roman"/>
          <w:sz w:val="28"/>
          <w:szCs w:val="28"/>
          <w:highlight w:val="none"/>
        </w:rPr>
        <w:t>XXXX年XX月XX日</w:t>
      </w: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r>
        <w:rPr>
          <w:rFonts w:ascii="Times New Roman"/>
          <w:b/>
          <w:sz w:val="28"/>
          <w:szCs w:val="28"/>
          <w:highlight w:val="none"/>
        </w:rPr>
        <w:t>注：提供投标代表本人身份证复印件盖公章</w:t>
      </w:r>
    </w:p>
    <w:p>
      <w:pPr>
        <w:snapToGrid w:val="0"/>
        <w:spacing w:line="360" w:lineRule="auto"/>
        <w:jc w:val="center"/>
        <w:outlineLvl w:val="4"/>
        <w:rPr>
          <w:rFonts w:ascii="Times New Roman"/>
          <w:b/>
          <w:bCs/>
          <w:highlight w:val="none"/>
        </w:rPr>
      </w:pPr>
    </w:p>
    <w:p>
      <w:pPr>
        <w:pStyle w:val="5"/>
        <w:rPr>
          <w:rFonts w:ascii="Times New Roman"/>
          <w:highlight w:val="none"/>
        </w:rPr>
      </w:pPr>
    </w:p>
    <w:p>
      <w:pPr>
        <w:snapToGrid w:val="0"/>
        <w:spacing w:line="360" w:lineRule="auto"/>
        <w:jc w:val="center"/>
        <w:outlineLvl w:val="4"/>
        <w:rPr>
          <w:rFonts w:ascii="Times New Roman"/>
          <w:b/>
          <w:bCs/>
          <w:highlight w:val="none"/>
        </w:rPr>
      </w:pPr>
    </w:p>
    <w:p>
      <w:pPr>
        <w:snapToGrid w:val="0"/>
        <w:spacing w:line="360" w:lineRule="auto"/>
        <w:jc w:val="center"/>
        <w:outlineLvl w:val="4"/>
        <w:rPr>
          <w:rFonts w:ascii="Times New Roman"/>
          <w:b/>
          <w:bCs/>
          <w:highlight w:val="none"/>
        </w:rPr>
      </w:pPr>
    </w:p>
    <w:p>
      <w:pPr>
        <w:snapToGrid w:val="0"/>
        <w:spacing w:line="360" w:lineRule="auto"/>
        <w:jc w:val="center"/>
        <w:outlineLvl w:val="4"/>
        <w:rPr>
          <w:rFonts w:ascii="Times New Roman"/>
          <w:b/>
          <w:bCs/>
          <w:highlight w:val="none"/>
        </w:rPr>
      </w:pPr>
    </w:p>
    <w:p>
      <w:pPr>
        <w:snapToGrid w:val="0"/>
        <w:spacing w:line="360" w:lineRule="auto"/>
        <w:jc w:val="center"/>
        <w:outlineLvl w:val="4"/>
        <w:rPr>
          <w:rFonts w:ascii="Times New Roman"/>
          <w:b/>
          <w:bCs/>
          <w:highlight w:val="none"/>
        </w:rPr>
      </w:pPr>
    </w:p>
    <w:p>
      <w:pPr>
        <w:snapToGrid w:val="0"/>
        <w:spacing w:line="360" w:lineRule="auto"/>
        <w:jc w:val="center"/>
        <w:outlineLvl w:val="4"/>
        <w:rPr>
          <w:rFonts w:ascii="Times New Roman"/>
          <w:b/>
          <w:bCs/>
          <w:highlight w:val="none"/>
        </w:rPr>
      </w:pPr>
    </w:p>
    <w:p>
      <w:pPr>
        <w:snapToGrid w:val="0"/>
        <w:spacing w:line="360" w:lineRule="auto"/>
        <w:jc w:val="center"/>
        <w:outlineLvl w:val="4"/>
        <w:rPr>
          <w:rFonts w:ascii="Times New Roman"/>
          <w:b/>
          <w:bCs/>
          <w:highlight w:val="none"/>
        </w:rPr>
      </w:pPr>
    </w:p>
    <w:p>
      <w:pPr>
        <w:snapToGrid w:val="0"/>
        <w:spacing w:line="360" w:lineRule="auto"/>
        <w:jc w:val="center"/>
        <w:outlineLvl w:val="4"/>
        <w:rPr>
          <w:rFonts w:ascii="Times New Roman"/>
          <w:b/>
          <w:bCs/>
          <w:highlight w:val="none"/>
        </w:rPr>
      </w:pPr>
    </w:p>
    <w:p>
      <w:pPr>
        <w:snapToGrid w:val="0"/>
        <w:spacing w:line="360" w:lineRule="auto"/>
        <w:jc w:val="center"/>
        <w:outlineLvl w:val="4"/>
        <w:rPr>
          <w:rFonts w:ascii="Times New Roman"/>
          <w:b/>
          <w:bCs/>
          <w:highlight w:val="none"/>
        </w:rPr>
      </w:pPr>
    </w:p>
    <w:p>
      <w:pPr>
        <w:snapToGrid w:val="0"/>
        <w:spacing w:line="360" w:lineRule="auto"/>
        <w:jc w:val="center"/>
        <w:outlineLvl w:val="4"/>
        <w:rPr>
          <w:rFonts w:ascii="Times New Roman"/>
          <w:b/>
          <w:bCs/>
          <w:highlight w:val="none"/>
        </w:rPr>
      </w:pPr>
    </w:p>
    <w:p>
      <w:pPr>
        <w:snapToGrid w:val="0"/>
        <w:spacing w:line="360" w:lineRule="auto"/>
        <w:jc w:val="center"/>
        <w:outlineLvl w:val="4"/>
        <w:rPr>
          <w:rFonts w:ascii="Times New Roman"/>
          <w:b/>
          <w:bCs/>
          <w:highlight w:val="none"/>
        </w:rPr>
      </w:pPr>
    </w:p>
    <w:p>
      <w:pPr>
        <w:pStyle w:val="22"/>
        <w:spacing w:line="560" w:lineRule="exact"/>
        <w:rPr>
          <w:b/>
          <w:bCs/>
          <w:sz w:val="32"/>
          <w:szCs w:val="32"/>
          <w:highlight w:val="none"/>
        </w:rPr>
      </w:pPr>
      <w:r>
        <w:rPr>
          <w:b/>
          <w:bCs/>
          <w:sz w:val="32"/>
          <w:szCs w:val="32"/>
          <w:highlight w:val="none"/>
        </w:rPr>
        <w:t xml:space="preserve">附件4 </w:t>
      </w:r>
    </w:p>
    <w:p>
      <w:pPr>
        <w:spacing w:before="240" w:line="312" w:lineRule="auto"/>
        <w:jc w:val="center"/>
        <w:rPr>
          <w:rFonts w:ascii="Times New Roman"/>
          <w:b/>
          <w:sz w:val="32"/>
          <w:szCs w:val="32"/>
          <w:highlight w:val="none"/>
          <w:lang w:bidi="ar"/>
        </w:rPr>
      </w:pPr>
      <w:r>
        <w:rPr>
          <w:rFonts w:ascii="Times New Roman"/>
          <w:b/>
          <w:sz w:val="32"/>
          <w:szCs w:val="32"/>
          <w:highlight w:val="none"/>
          <w:lang w:bidi="ar"/>
        </w:rPr>
        <w:t>供应商信用承诺书</w:t>
      </w:r>
    </w:p>
    <w:p>
      <w:pPr>
        <w:spacing w:line="360" w:lineRule="auto"/>
        <w:ind w:firstLine="480" w:firstLineChars="200"/>
        <w:rPr>
          <w:rFonts w:ascii="Times New Roman"/>
          <w:highlight w:val="none"/>
          <w:lang w:val="zh-CN"/>
        </w:rPr>
      </w:pPr>
      <w:r>
        <w:rPr>
          <w:rFonts w:ascii="Times New Roman"/>
          <w:highlight w:val="none"/>
          <w:lang w:val="zh-CN" w:bidi="ar"/>
        </w:rPr>
        <w:t>为营造公开、公平、公正的公共资源交易环境，树立诚信守法的投标人形象，本人代表本单位作出以下承诺：</w:t>
      </w:r>
    </w:p>
    <w:p>
      <w:pPr>
        <w:spacing w:line="360" w:lineRule="auto"/>
        <w:ind w:firstLine="480" w:firstLineChars="200"/>
        <w:rPr>
          <w:rFonts w:ascii="Times New Roman"/>
          <w:highlight w:val="none"/>
          <w:lang w:val="zh-CN"/>
        </w:rPr>
      </w:pPr>
      <w:r>
        <w:rPr>
          <w:rFonts w:ascii="Times New Roman"/>
          <w:highlight w:val="none"/>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ascii="Times New Roman"/>
          <w:highlight w:val="none"/>
          <w:lang w:val="zh-CN"/>
        </w:rPr>
      </w:pPr>
      <w:r>
        <w:rPr>
          <w:rFonts w:ascii="Times New Roman"/>
          <w:highlight w:val="none"/>
          <w:lang w:val="zh-CN" w:bidi="ar"/>
        </w:rPr>
        <w:t>二、严格依照国家和省、市、县关于政府采购等方面的法律、法规、规章、规范性文件，参加公共资源交易招标投标活动；积极履行社会责任，促进廉政建设；</w:t>
      </w:r>
    </w:p>
    <w:p>
      <w:pPr>
        <w:spacing w:line="360" w:lineRule="auto"/>
        <w:ind w:firstLine="480" w:firstLineChars="200"/>
        <w:rPr>
          <w:rFonts w:ascii="Times New Roman"/>
          <w:highlight w:val="none"/>
          <w:lang w:val="zh-CN"/>
        </w:rPr>
      </w:pPr>
      <w:r>
        <w:rPr>
          <w:rFonts w:ascii="Times New Roman"/>
          <w:highlight w:val="none"/>
          <w:lang w:val="zh-CN" w:bidi="ar"/>
        </w:rPr>
        <w:t>三、严格遵守即时信息公示规定，及时更新公共资源交易中心主体信息库中信息；</w:t>
      </w:r>
    </w:p>
    <w:p>
      <w:pPr>
        <w:spacing w:line="360" w:lineRule="auto"/>
        <w:ind w:firstLine="480" w:firstLineChars="200"/>
        <w:rPr>
          <w:rFonts w:ascii="Times New Roman"/>
          <w:highlight w:val="none"/>
          <w:lang w:val="zh-CN"/>
        </w:rPr>
      </w:pPr>
      <w:r>
        <w:rPr>
          <w:rFonts w:ascii="Times New Roman"/>
          <w:highlight w:val="none"/>
          <w:lang w:val="zh-CN" w:bidi="ar"/>
        </w:rPr>
        <w:t>四、自我约束、自我管理，守合同、重信用，不参与围标串标、弄虚作假、骗取中标、干扰评标、违约毁约、恶意投诉等行为，主动维护公共资源交易招标投标的良好秩序；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rFonts w:ascii="Times New Roman"/>
          <w:highlight w:val="none"/>
          <w:lang w:val="zh-CN"/>
        </w:rPr>
      </w:pPr>
      <w:r>
        <w:rPr>
          <w:rFonts w:ascii="Times New Roman"/>
          <w:highlight w:val="none"/>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480" w:firstLineChars="200"/>
        <w:rPr>
          <w:rFonts w:ascii="Times New Roman"/>
          <w:highlight w:val="none"/>
          <w:lang w:val="zh-CN"/>
        </w:rPr>
      </w:pPr>
      <w:r>
        <w:rPr>
          <w:rFonts w:ascii="Times New Roman"/>
          <w:highlight w:val="none"/>
          <w:lang w:val="zh-CN" w:bidi="ar"/>
        </w:rPr>
        <w:t>六、自觉接受政府部门、行业组织、社会公众、新闻舆论等监督；</w:t>
      </w:r>
    </w:p>
    <w:p>
      <w:pPr>
        <w:spacing w:line="360" w:lineRule="auto"/>
        <w:ind w:firstLine="480" w:firstLineChars="200"/>
        <w:rPr>
          <w:rFonts w:ascii="Times New Roman"/>
          <w:highlight w:val="none"/>
          <w:lang w:val="zh-CN"/>
        </w:rPr>
      </w:pPr>
      <w:r>
        <w:rPr>
          <w:rFonts w:ascii="Times New Roman"/>
          <w:highlight w:val="none"/>
          <w:lang w:val="zh-CN" w:bidi="ar"/>
        </w:rPr>
        <w:t>七、上述承诺已向本单位员工作了宣传教育；</w:t>
      </w:r>
    </w:p>
    <w:p>
      <w:pPr>
        <w:spacing w:line="360" w:lineRule="auto"/>
        <w:ind w:firstLine="482" w:firstLineChars="200"/>
        <w:rPr>
          <w:rFonts w:ascii="Times New Roman"/>
          <w:b/>
          <w:highlight w:val="none"/>
          <w:lang w:val="zh-CN"/>
        </w:rPr>
      </w:pPr>
      <w:r>
        <w:rPr>
          <w:rFonts w:ascii="Times New Roman"/>
          <w:b/>
          <w:highlight w:val="none"/>
          <w:lang w:val="zh-CN" w:bidi="ar"/>
        </w:rPr>
        <w:t>如有违反上述承诺的不良行为，本单位同意将其予以上网公示。</w:t>
      </w:r>
    </w:p>
    <w:p>
      <w:pPr>
        <w:spacing w:line="360" w:lineRule="auto"/>
        <w:rPr>
          <w:rFonts w:ascii="Times New Roman"/>
          <w:highlight w:val="none"/>
          <w:lang w:val="zh-CN"/>
        </w:rPr>
      </w:pPr>
    </w:p>
    <w:p>
      <w:pPr>
        <w:spacing w:line="360" w:lineRule="auto"/>
        <w:ind w:firstLine="4560" w:firstLineChars="1900"/>
        <w:rPr>
          <w:rFonts w:ascii="Times New Roman"/>
          <w:highlight w:val="none"/>
          <w:lang w:val="zh-CN"/>
        </w:rPr>
      </w:pPr>
    </w:p>
    <w:p>
      <w:pPr>
        <w:spacing w:line="360" w:lineRule="auto"/>
        <w:ind w:firstLine="3080" w:firstLineChars="1100"/>
        <w:rPr>
          <w:rFonts w:ascii="Times New Roman"/>
          <w:sz w:val="28"/>
          <w:szCs w:val="28"/>
          <w:highlight w:val="none"/>
          <w:u w:val="single"/>
          <w:lang w:val="zh-CN"/>
        </w:rPr>
      </w:pPr>
      <w:r>
        <w:rPr>
          <w:rFonts w:ascii="Times New Roman"/>
          <w:sz w:val="28"/>
          <w:szCs w:val="28"/>
          <w:highlight w:val="none"/>
          <w:lang w:val="zh-CN" w:bidi="ar"/>
        </w:rPr>
        <w:t>投标供应商全称(盖公章)：</w:t>
      </w:r>
    </w:p>
    <w:p>
      <w:pPr>
        <w:spacing w:line="360" w:lineRule="auto"/>
        <w:ind w:firstLine="3080" w:firstLineChars="1100"/>
        <w:rPr>
          <w:rFonts w:ascii="Times New Roman"/>
          <w:sz w:val="28"/>
          <w:szCs w:val="28"/>
          <w:highlight w:val="none"/>
          <w:u w:val="single"/>
          <w:lang w:val="zh-CN"/>
        </w:rPr>
      </w:pPr>
      <w:r>
        <w:rPr>
          <w:rFonts w:ascii="Times New Roman"/>
          <w:sz w:val="28"/>
          <w:szCs w:val="28"/>
          <w:highlight w:val="none"/>
          <w:lang w:val="zh-CN" w:bidi="ar"/>
        </w:rPr>
        <w:t>法定代表人（签字或盖章）：</w:t>
      </w:r>
    </w:p>
    <w:p>
      <w:pPr>
        <w:spacing w:line="360" w:lineRule="auto"/>
        <w:ind w:firstLine="3080" w:firstLineChars="1100"/>
        <w:rPr>
          <w:rFonts w:ascii="Times New Roman"/>
          <w:sz w:val="28"/>
          <w:szCs w:val="28"/>
          <w:highlight w:val="none"/>
          <w:lang w:val="zh-CN"/>
        </w:rPr>
      </w:pPr>
      <w:r>
        <w:rPr>
          <w:rFonts w:ascii="Times New Roman"/>
          <w:sz w:val="28"/>
          <w:szCs w:val="28"/>
          <w:highlight w:val="none"/>
          <w:lang w:val="zh-CN" w:bidi="ar"/>
        </w:rPr>
        <w:t>时间：  年  月   日</w:t>
      </w:r>
    </w:p>
    <w:p>
      <w:pPr>
        <w:tabs>
          <w:tab w:val="left" w:pos="1260"/>
        </w:tabs>
        <w:snapToGrid w:val="0"/>
        <w:spacing w:line="300" w:lineRule="auto"/>
        <w:contextualSpacing/>
        <w:jc w:val="center"/>
        <w:rPr>
          <w:rFonts w:ascii="Times New Roman"/>
          <w:b/>
          <w:sz w:val="32"/>
          <w:szCs w:val="32"/>
          <w:highlight w:val="none"/>
        </w:rPr>
      </w:pPr>
    </w:p>
    <w:p>
      <w:pPr>
        <w:tabs>
          <w:tab w:val="left" w:pos="1260"/>
        </w:tabs>
        <w:snapToGrid w:val="0"/>
        <w:spacing w:line="300" w:lineRule="auto"/>
        <w:contextualSpacing/>
        <w:jc w:val="center"/>
        <w:rPr>
          <w:rFonts w:ascii="Times New Roman"/>
          <w:b/>
          <w:sz w:val="32"/>
          <w:szCs w:val="32"/>
          <w:highlight w:val="none"/>
        </w:rPr>
      </w:pPr>
    </w:p>
    <w:p>
      <w:pPr>
        <w:tabs>
          <w:tab w:val="left" w:pos="1260"/>
        </w:tabs>
        <w:snapToGrid w:val="0"/>
        <w:spacing w:line="300" w:lineRule="auto"/>
        <w:contextualSpacing/>
        <w:jc w:val="center"/>
        <w:rPr>
          <w:rFonts w:ascii="Times New Roman"/>
          <w:b/>
          <w:sz w:val="32"/>
          <w:szCs w:val="32"/>
          <w:highlight w:val="none"/>
        </w:rPr>
      </w:pPr>
    </w:p>
    <w:p>
      <w:pPr>
        <w:rPr>
          <w:rFonts w:ascii="Times New Roman" w:eastAsia="方正黑体_GBK"/>
          <w:bCs/>
          <w:sz w:val="32"/>
          <w:szCs w:val="32"/>
          <w:highlight w:val="none"/>
          <w:lang w:bidi="ar"/>
        </w:rPr>
        <w:sectPr>
          <w:pgSz w:w="11906" w:h="16838"/>
          <w:pgMar w:top="1418" w:right="1474" w:bottom="1418" w:left="1474" w:header="851" w:footer="907" w:gutter="0"/>
          <w:cols w:space="720" w:num="1"/>
          <w:docGrid w:type="lines" w:linePitch="312" w:charSpace="0"/>
        </w:sectPr>
      </w:pPr>
    </w:p>
    <w:p>
      <w:pPr>
        <w:rPr>
          <w:rFonts w:hint="eastAsia" w:ascii="Times New Roman" w:eastAsia="方正黑体_GBK"/>
          <w:bCs/>
          <w:sz w:val="32"/>
          <w:szCs w:val="32"/>
          <w:highlight w:val="none"/>
          <w:lang w:bidi="ar"/>
        </w:rPr>
      </w:pPr>
      <w:r>
        <w:rPr>
          <w:rFonts w:ascii="Times New Roman" w:eastAsia="方正黑体_GBK"/>
          <w:bCs/>
          <w:sz w:val="32"/>
          <w:szCs w:val="32"/>
          <w:highlight w:val="none"/>
          <w:lang w:bidi="ar"/>
        </w:rPr>
        <w:t>附件</w:t>
      </w:r>
      <w:r>
        <w:rPr>
          <w:rFonts w:hint="eastAsia" w:ascii="Times New Roman" w:eastAsia="方正黑体_GBK"/>
          <w:bCs/>
          <w:sz w:val="32"/>
          <w:szCs w:val="32"/>
          <w:highlight w:val="none"/>
          <w:lang w:bidi="ar"/>
        </w:rPr>
        <w:t>5</w:t>
      </w:r>
    </w:p>
    <w:p>
      <w:pPr>
        <w:tabs>
          <w:tab w:val="left" w:pos="1260"/>
        </w:tabs>
        <w:snapToGrid w:val="0"/>
        <w:spacing w:line="300" w:lineRule="auto"/>
        <w:contextualSpacing/>
        <w:jc w:val="center"/>
        <w:rPr>
          <w:rFonts w:ascii="Times New Roman"/>
          <w:b/>
          <w:sz w:val="32"/>
          <w:szCs w:val="32"/>
          <w:highlight w:val="none"/>
        </w:rPr>
      </w:pPr>
      <w:r>
        <w:rPr>
          <w:rFonts w:ascii="Times New Roman"/>
          <w:b/>
          <w:sz w:val="32"/>
          <w:szCs w:val="32"/>
          <w:highlight w:val="none"/>
        </w:rPr>
        <w:t>投标人情况一览表</w:t>
      </w:r>
    </w:p>
    <w:tbl>
      <w:tblPr>
        <w:tblStyle w:val="18"/>
        <w:tblW w:w="916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pPr>
              <w:tabs>
                <w:tab w:val="left" w:pos="4320"/>
              </w:tabs>
              <w:jc w:val="center"/>
              <w:rPr>
                <w:rFonts w:ascii="Times New Roman"/>
                <w:highlight w:val="none"/>
              </w:rPr>
            </w:pPr>
            <w:r>
              <w:rPr>
                <w:rFonts w:ascii="Times New Roman"/>
                <w:highlight w:val="none"/>
              </w:rPr>
              <w:t>单位名称</w:t>
            </w:r>
          </w:p>
        </w:tc>
        <w:tc>
          <w:tcPr>
            <w:tcW w:w="7923" w:type="dxa"/>
            <w:gridSpan w:val="10"/>
            <w:tcBorders>
              <w:top w:val="double" w:color="auto" w:sz="4" w:space="0"/>
              <w:right w:val="double" w:color="auto" w:sz="4" w:space="0"/>
            </w:tcBorders>
            <w:vAlign w:val="center"/>
          </w:tcPr>
          <w:p>
            <w:pPr>
              <w:tabs>
                <w:tab w:val="left" w:pos="4320"/>
              </w:tabs>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pPr>
              <w:tabs>
                <w:tab w:val="left" w:pos="4320"/>
              </w:tabs>
              <w:rPr>
                <w:rFonts w:ascii="Times New Roman"/>
                <w:highlight w:val="none"/>
              </w:rPr>
            </w:pPr>
            <w:r>
              <w:rPr>
                <w:rFonts w:ascii="Times New Roman"/>
                <w:highlight w:val="none"/>
              </w:rPr>
              <w:t>单位优势及特长</w:t>
            </w:r>
          </w:p>
        </w:tc>
        <w:tc>
          <w:tcPr>
            <w:tcW w:w="7072" w:type="dxa"/>
            <w:gridSpan w:val="9"/>
            <w:tcBorders>
              <w:left w:val="single" w:color="auto" w:sz="4" w:space="0"/>
              <w:right w:val="double" w:color="auto" w:sz="4" w:space="0"/>
            </w:tcBorders>
            <w:vAlign w:val="center"/>
          </w:tcPr>
          <w:p>
            <w:pPr>
              <w:tabs>
                <w:tab w:val="left" w:pos="4320"/>
              </w:tabs>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ind w:left="266" w:hanging="266" w:hangingChars="111"/>
              <w:rPr>
                <w:rFonts w:ascii="Times New Roman"/>
                <w:highlight w:val="none"/>
              </w:rPr>
            </w:pPr>
            <w:r>
              <w:rPr>
                <w:rFonts w:ascii="Times New Roman"/>
                <w:highlight w:val="none"/>
              </w:rPr>
              <w:t>单位</w:t>
            </w:r>
          </w:p>
          <w:p>
            <w:pPr>
              <w:tabs>
                <w:tab w:val="left" w:pos="4320"/>
              </w:tabs>
              <w:ind w:left="266" w:hanging="266" w:hangingChars="111"/>
              <w:rPr>
                <w:rFonts w:ascii="Times New Roman"/>
                <w:highlight w:val="none"/>
              </w:rPr>
            </w:pPr>
            <w:r>
              <w:rPr>
                <w:rFonts w:ascii="Times New Roman"/>
                <w:highlight w:val="none"/>
              </w:rPr>
              <w:t>概况</w:t>
            </w:r>
          </w:p>
        </w:tc>
        <w:tc>
          <w:tcPr>
            <w:tcW w:w="1276" w:type="dxa"/>
            <w:gridSpan w:val="2"/>
            <w:vAlign w:val="center"/>
          </w:tcPr>
          <w:p>
            <w:pPr>
              <w:tabs>
                <w:tab w:val="left" w:pos="4320"/>
              </w:tabs>
              <w:jc w:val="center"/>
              <w:rPr>
                <w:rFonts w:ascii="Times New Roman"/>
                <w:highlight w:val="none"/>
              </w:rPr>
            </w:pPr>
            <w:r>
              <w:rPr>
                <w:rFonts w:ascii="Times New Roman"/>
                <w:highlight w:val="none"/>
              </w:rPr>
              <w:t>职工总数</w:t>
            </w:r>
          </w:p>
        </w:tc>
        <w:tc>
          <w:tcPr>
            <w:tcW w:w="1417" w:type="dxa"/>
            <w:gridSpan w:val="2"/>
            <w:vAlign w:val="center"/>
          </w:tcPr>
          <w:p>
            <w:pPr>
              <w:tabs>
                <w:tab w:val="left" w:pos="4320"/>
              </w:tabs>
              <w:jc w:val="right"/>
              <w:rPr>
                <w:rFonts w:ascii="Times New Roman"/>
                <w:highlight w:val="none"/>
              </w:rPr>
            </w:pPr>
            <w:r>
              <w:rPr>
                <w:rFonts w:ascii="Times New Roman"/>
                <w:highlight w:val="none"/>
              </w:rPr>
              <w:t>人</w:t>
            </w:r>
          </w:p>
        </w:tc>
        <w:tc>
          <w:tcPr>
            <w:tcW w:w="567" w:type="dxa"/>
            <w:vMerge w:val="restart"/>
            <w:vAlign w:val="center"/>
          </w:tcPr>
          <w:p>
            <w:pPr>
              <w:tabs>
                <w:tab w:val="left" w:pos="4320"/>
              </w:tabs>
              <w:rPr>
                <w:rFonts w:ascii="Times New Roman"/>
                <w:highlight w:val="none"/>
              </w:rPr>
            </w:pPr>
            <w:r>
              <w:rPr>
                <w:rFonts w:ascii="Times New Roman"/>
                <w:highlight w:val="none"/>
              </w:rPr>
              <w:t>上一年主要经济指标</w:t>
            </w:r>
          </w:p>
        </w:tc>
        <w:tc>
          <w:tcPr>
            <w:tcW w:w="946" w:type="dxa"/>
            <w:vAlign w:val="center"/>
          </w:tcPr>
          <w:p>
            <w:pPr>
              <w:tabs>
                <w:tab w:val="left" w:pos="4320"/>
              </w:tabs>
              <w:jc w:val="center"/>
              <w:rPr>
                <w:rFonts w:ascii="Times New Roman"/>
                <w:highlight w:val="none"/>
              </w:rPr>
            </w:pPr>
            <w:r>
              <w:rPr>
                <w:rFonts w:ascii="Times New Roman"/>
                <w:highlight w:val="none"/>
              </w:rPr>
              <w:t>营业额</w:t>
            </w:r>
          </w:p>
        </w:tc>
        <w:tc>
          <w:tcPr>
            <w:tcW w:w="1414" w:type="dxa"/>
            <w:gridSpan w:val="2"/>
            <w:vAlign w:val="center"/>
          </w:tcPr>
          <w:p>
            <w:pPr>
              <w:tabs>
                <w:tab w:val="left" w:pos="4320"/>
              </w:tabs>
              <w:rPr>
                <w:rFonts w:ascii="Times New Roman"/>
                <w:highlight w:val="none"/>
              </w:rPr>
            </w:pPr>
          </w:p>
        </w:tc>
        <w:tc>
          <w:tcPr>
            <w:tcW w:w="1184" w:type="dxa"/>
            <w:gridSpan w:val="2"/>
            <w:vAlign w:val="center"/>
          </w:tcPr>
          <w:p>
            <w:pPr>
              <w:tabs>
                <w:tab w:val="left" w:pos="4320"/>
              </w:tabs>
              <w:jc w:val="center"/>
              <w:rPr>
                <w:rFonts w:ascii="Times New Roman"/>
                <w:highlight w:val="none"/>
              </w:rPr>
            </w:pPr>
            <w:r>
              <w:rPr>
                <w:rFonts w:ascii="Times New Roman"/>
                <w:highlight w:val="none"/>
              </w:rPr>
              <w:t>实现利润</w:t>
            </w:r>
          </w:p>
        </w:tc>
        <w:tc>
          <w:tcPr>
            <w:tcW w:w="1544" w:type="dxa"/>
            <w:tcBorders>
              <w:right w:val="double" w:color="auto" w:sz="4" w:space="0"/>
            </w:tcBorders>
            <w:vAlign w:val="center"/>
          </w:tcPr>
          <w:p>
            <w:pPr>
              <w:tabs>
                <w:tab w:val="left" w:pos="4320"/>
              </w:tabs>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ind w:left="266" w:hanging="266" w:hangingChars="111"/>
              <w:rPr>
                <w:rFonts w:ascii="Times New Roman"/>
                <w:highlight w:val="none"/>
              </w:rPr>
            </w:pPr>
          </w:p>
        </w:tc>
        <w:tc>
          <w:tcPr>
            <w:tcW w:w="1276" w:type="dxa"/>
            <w:gridSpan w:val="2"/>
            <w:vAlign w:val="center"/>
          </w:tcPr>
          <w:p>
            <w:pPr>
              <w:tabs>
                <w:tab w:val="left" w:pos="4320"/>
              </w:tabs>
              <w:jc w:val="center"/>
              <w:rPr>
                <w:rFonts w:ascii="Times New Roman"/>
                <w:highlight w:val="none"/>
              </w:rPr>
            </w:pPr>
            <w:r>
              <w:rPr>
                <w:rFonts w:ascii="Times New Roman"/>
                <w:highlight w:val="none"/>
              </w:rPr>
              <w:t>流动资金</w:t>
            </w:r>
          </w:p>
        </w:tc>
        <w:tc>
          <w:tcPr>
            <w:tcW w:w="1417" w:type="dxa"/>
            <w:gridSpan w:val="2"/>
            <w:vAlign w:val="center"/>
          </w:tcPr>
          <w:p>
            <w:pPr>
              <w:tabs>
                <w:tab w:val="left" w:pos="4320"/>
              </w:tabs>
              <w:jc w:val="right"/>
              <w:rPr>
                <w:rFonts w:ascii="Times New Roman"/>
                <w:highlight w:val="none"/>
              </w:rPr>
            </w:pPr>
            <w:r>
              <w:rPr>
                <w:rFonts w:ascii="Times New Roman"/>
                <w:highlight w:val="none"/>
              </w:rPr>
              <w:t>万元</w:t>
            </w:r>
          </w:p>
        </w:tc>
        <w:tc>
          <w:tcPr>
            <w:tcW w:w="567" w:type="dxa"/>
            <w:vMerge w:val="continue"/>
            <w:vAlign w:val="center"/>
          </w:tcPr>
          <w:p>
            <w:pPr>
              <w:tabs>
                <w:tab w:val="left" w:pos="4320"/>
              </w:tabs>
              <w:rPr>
                <w:rFonts w:ascii="Times New Roman"/>
                <w:highlight w:val="none"/>
              </w:rPr>
            </w:pPr>
          </w:p>
        </w:tc>
        <w:tc>
          <w:tcPr>
            <w:tcW w:w="946" w:type="dxa"/>
            <w:vMerge w:val="restart"/>
            <w:vAlign w:val="center"/>
          </w:tcPr>
          <w:p>
            <w:pPr>
              <w:tabs>
                <w:tab w:val="left" w:pos="4320"/>
              </w:tabs>
              <w:jc w:val="center"/>
              <w:rPr>
                <w:rFonts w:ascii="Times New Roman"/>
                <w:highlight w:val="none"/>
              </w:rPr>
            </w:pPr>
            <w:r>
              <w:rPr>
                <w:rFonts w:ascii="Times New Roman"/>
                <w:highlight w:val="none"/>
              </w:rPr>
              <w:t>主要</w:t>
            </w:r>
          </w:p>
          <w:p>
            <w:pPr>
              <w:tabs>
                <w:tab w:val="left" w:pos="4320"/>
              </w:tabs>
              <w:jc w:val="center"/>
              <w:rPr>
                <w:rFonts w:ascii="Times New Roman"/>
                <w:highlight w:val="none"/>
              </w:rPr>
            </w:pPr>
            <w:r>
              <w:rPr>
                <w:rFonts w:ascii="Times New Roman"/>
                <w:highlight w:val="none"/>
              </w:rPr>
              <w:t>产品</w:t>
            </w:r>
          </w:p>
        </w:tc>
        <w:tc>
          <w:tcPr>
            <w:tcW w:w="4142" w:type="dxa"/>
            <w:gridSpan w:val="5"/>
            <w:tcBorders>
              <w:right w:val="double" w:color="auto" w:sz="4" w:space="0"/>
            </w:tcBorders>
            <w:vAlign w:val="center"/>
          </w:tcPr>
          <w:p>
            <w:pPr>
              <w:tabs>
                <w:tab w:val="left" w:pos="4320"/>
              </w:tabs>
              <w:spacing w:before="120" w:after="120"/>
              <w:rPr>
                <w:rFonts w:ascii="Times New Roman"/>
                <w:highlight w:val="none"/>
              </w:rPr>
            </w:pPr>
            <w:r>
              <w:rPr>
                <w:rFonts w:ascii="Times New Roman"/>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pPr>
              <w:tabs>
                <w:tab w:val="left" w:pos="4320"/>
              </w:tabs>
              <w:ind w:left="266" w:hanging="266" w:hangingChars="111"/>
              <w:rPr>
                <w:rFonts w:ascii="Times New Roman"/>
                <w:highlight w:val="none"/>
              </w:rPr>
            </w:pPr>
          </w:p>
        </w:tc>
        <w:tc>
          <w:tcPr>
            <w:tcW w:w="1276" w:type="dxa"/>
            <w:gridSpan w:val="2"/>
            <w:vAlign w:val="center"/>
          </w:tcPr>
          <w:p>
            <w:pPr>
              <w:tabs>
                <w:tab w:val="left" w:pos="4320"/>
              </w:tabs>
              <w:jc w:val="center"/>
              <w:rPr>
                <w:rFonts w:ascii="Times New Roman"/>
                <w:highlight w:val="none"/>
              </w:rPr>
            </w:pPr>
            <w:r>
              <w:rPr>
                <w:rFonts w:ascii="Times New Roman"/>
                <w:highlight w:val="none"/>
              </w:rPr>
              <w:t>固定资产</w:t>
            </w:r>
          </w:p>
          <w:p>
            <w:pPr>
              <w:tabs>
                <w:tab w:val="left" w:pos="4320"/>
              </w:tabs>
              <w:jc w:val="center"/>
              <w:rPr>
                <w:rFonts w:ascii="Times New Roman"/>
                <w:highlight w:val="none"/>
              </w:rPr>
            </w:pPr>
            <w:r>
              <w:rPr>
                <w:rFonts w:ascii="Times New Roman"/>
                <w:highlight w:val="none"/>
              </w:rPr>
              <w:t>（万元）</w:t>
            </w:r>
          </w:p>
        </w:tc>
        <w:tc>
          <w:tcPr>
            <w:tcW w:w="1417" w:type="dxa"/>
            <w:gridSpan w:val="2"/>
            <w:vAlign w:val="center"/>
          </w:tcPr>
          <w:p>
            <w:pPr>
              <w:tabs>
                <w:tab w:val="left" w:pos="-48"/>
                <w:tab w:val="left" w:pos="4320"/>
              </w:tabs>
              <w:ind w:right="-133" w:hanging="48"/>
              <w:rPr>
                <w:rFonts w:ascii="Times New Roman"/>
                <w:highlight w:val="none"/>
              </w:rPr>
            </w:pPr>
            <w:r>
              <w:rPr>
                <w:rFonts w:ascii="Times New Roman"/>
                <w:highlight w:val="none"/>
              </w:rPr>
              <w:t>原值：</w:t>
            </w:r>
          </w:p>
          <w:p>
            <w:pPr>
              <w:tabs>
                <w:tab w:val="left" w:pos="-48"/>
                <w:tab w:val="left" w:pos="4320"/>
              </w:tabs>
              <w:ind w:hanging="48"/>
              <w:jc w:val="right"/>
              <w:rPr>
                <w:rFonts w:ascii="Times New Roman"/>
                <w:highlight w:val="none"/>
              </w:rPr>
            </w:pPr>
          </w:p>
          <w:p>
            <w:pPr>
              <w:tabs>
                <w:tab w:val="left" w:pos="-48"/>
                <w:tab w:val="left" w:pos="4320"/>
              </w:tabs>
              <w:ind w:right="-133" w:hanging="48"/>
              <w:rPr>
                <w:rFonts w:ascii="Times New Roman"/>
                <w:highlight w:val="none"/>
              </w:rPr>
            </w:pPr>
            <w:r>
              <w:rPr>
                <w:rFonts w:ascii="Times New Roman"/>
                <w:highlight w:val="none"/>
              </w:rPr>
              <w:t>净值：</w:t>
            </w:r>
          </w:p>
          <w:p>
            <w:pPr>
              <w:tabs>
                <w:tab w:val="left" w:pos="-48"/>
                <w:tab w:val="left" w:pos="4320"/>
              </w:tabs>
              <w:ind w:hanging="48"/>
              <w:jc w:val="right"/>
              <w:rPr>
                <w:rFonts w:ascii="Times New Roman"/>
                <w:highlight w:val="none"/>
              </w:rPr>
            </w:pPr>
          </w:p>
        </w:tc>
        <w:tc>
          <w:tcPr>
            <w:tcW w:w="567" w:type="dxa"/>
            <w:vMerge w:val="continue"/>
            <w:vAlign w:val="center"/>
          </w:tcPr>
          <w:p>
            <w:pPr>
              <w:tabs>
                <w:tab w:val="left" w:pos="4320"/>
              </w:tabs>
              <w:rPr>
                <w:rFonts w:ascii="Times New Roman"/>
                <w:highlight w:val="none"/>
              </w:rPr>
            </w:pPr>
          </w:p>
        </w:tc>
        <w:tc>
          <w:tcPr>
            <w:tcW w:w="946" w:type="dxa"/>
            <w:vMerge w:val="continue"/>
            <w:vAlign w:val="center"/>
          </w:tcPr>
          <w:p>
            <w:pPr>
              <w:tabs>
                <w:tab w:val="left" w:pos="4320"/>
              </w:tabs>
              <w:jc w:val="center"/>
              <w:rPr>
                <w:rFonts w:ascii="Times New Roman"/>
                <w:highlight w:val="none"/>
              </w:rPr>
            </w:pPr>
          </w:p>
        </w:tc>
        <w:tc>
          <w:tcPr>
            <w:tcW w:w="4142" w:type="dxa"/>
            <w:gridSpan w:val="5"/>
            <w:tcBorders>
              <w:right w:val="double" w:color="auto" w:sz="4" w:space="0"/>
            </w:tcBorders>
            <w:vAlign w:val="center"/>
          </w:tcPr>
          <w:p>
            <w:pPr>
              <w:tabs>
                <w:tab w:val="left" w:pos="4320"/>
              </w:tabs>
              <w:rPr>
                <w:rFonts w:ascii="Times New Roman"/>
                <w:highlight w:val="none"/>
              </w:rPr>
            </w:pPr>
            <w:r>
              <w:rPr>
                <w:rFonts w:ascii="Times New Roman"/>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ind w:left="266" w:hanging="266" w:hangingChars="111"/>
              <w:rPr>
                <w:rFonts w:ascii="Times New Roman"/>
                <w:highlight w:val="none"/>
              </w:rPr>
            </w:pPr>
          </w:p>
        </w:tc>
        <w:tc>
          <w:tcPr>
            <w:tcW w:w="1276" w:type="dxa"/>
            <w:gridSpan w:val="2"/>
            <w:vAlign w:val="center"/>
          </w:tcPr>
          <w:p>
            <w:pPr>
              <w:tabs>
                <w:tab w:val="left" w:pos="4320"/>
              </w:tabs>
              <w:jc w:val="center"/>
              <w:rPr>
                <w:rFonts w:ascii="Times New Roman"/>
                <w:highlight w:val="none"/>
              </w:rPr>
            </w:pPr>
            <w:r>
              <w:rPr>
                <w:rFonts w:ascii="Times New Roman"/>
                <w:highlight w:val="none"/>
              </w:rPr>
              <w:t>占地面积</w:t>
            </w:r>
          </w:p>
        </w:tc>
        <w:tc>
          <w:tcPr>
            <w:tcW w:w="1417" w:type="dxa"/>
            <w:gridSpan w:val="2"/>
            <w:vAlign w:val="center"/>
          </w:tcPr>
          <w:p>
            <w:pPr>
              <w:tabs>
                <w:tab w:val="left" w:pos="4320"/>
              </w:tabs>
              <w:jc w:val="right"/>
              <w:rPr>
                <w:rFonts w:ascii="Times New Roman"/>
                <w:highlight w:val="none"/>
              </w:rPr>
            </w:pPr>
            <w:r>
              <w:rPr>
                <w:rFonts w:ascii="Times New Roman"/>
                <w:highlight w:val="none"/>
              </w:rPr>
              <w:t>M</w:t>
            </w:r>
            <w:r>
              <w:rPr>
                <w:rFonts w:ascii="Times New Roman"/>
                <w:highlight w:val="none"/>
                <w:vertAlign w:val="superscript"/>
              </w:rPr>
              <w:t>2</w:t>
            </w:r>
          </w:p>
        </w:tc>
        <w:tc>
          <w:tcPr>
            <w:tcW w:w="567" w:type="dxa"/>
            <w:vMerge w:val="continue"/>
            <w:vAlign w:val="center"/>
          </w:tcPr>
          <w:p>
            <w:pPr>
              <w:tabs>
                <w:tab w:val="left" w:pos="4320"/>
              </w:tabs>
              <w:rPr>
                <w:rFonts w:ascii="Times New Roman"/>
                <w:highlight w:val="none"/>
              </w:rPr>
            </w:pPr>
          </w:p>
        </w:tc>
        <w:tc>
          <w:tcPr>
            <w:tcW w:w="946" w:type="dxa"/>
            <w:vMerge w:val="continue"/>
            <w:vAlign w:val="center"/>
          </w:tcPr>
          <w:p>
            <w:pPr>
              <w:tabs>
                <w:tab w:val="left" w:pos="4320"/>
              </w:tabs>
              <w:jc w:val="center"/>
              <w:rPr>
                <w:rFonts w:ascii="Times New Roman"/>
                <w:highlight w:val="none"/>
              </w:rPr>
            </w:pPr>
          </w:p>
        </w:tc>
        <w:tc>
          <w:tcPr>
            <w:tcW w:w="4142" w:type="dxa"/>
            <w:gridSpan w:val="5"/>
            <w:tcBorders>
              <w:right w:val="double" w:color="auto" w:sz="4" w:space="0"/>
            </w:tcBorders>
            <w:vAlign w:val="center"/>
          </w:tcPr>
          <w:p>
            <w:pPr>
              <w:tabs>
                <w:tab w:val="left" w:pos="4320"/>
              </w:tabs>
              <w:spacing w:before="120" w:after="120"/>
              <w:rPr>
                <w:rFonts w:ascii="Times New Roman"/>
                <w:highlight w:val="none"/>
              </w:rPr>
            </w:pPr>
            <w:r>
              <w:rPr>
                <w:rFonts w:ascii="Times New Roman"/>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ind w:left="266" w:hanging="266" w:hangingChars="111"/>
              <w:rPr>
                <w:rFonts w:ascii="Times New Roman"/>
                <w:highlight w:val="none"/>
              </w:rPr>
            </w:pPr>
            <w:r>
              <w:rPr>
                <w:rFonts w:ascii="Times New Roman"/>
                <w:highlight w:val="none"/>
              </w:rPr>
              <w:t>本次</w:t>
            </w:r>
          </w:p>
          <w:p>
            <w:pPr>
              <w:tabs>
                <w:tab w:val="left" w:pos="4320"/>
              </w:tabs>
              <w:ind w:left="266" w:hanging="266" w:hangingChars="111"/>
              <w:rPr>
                <w:rFonts w:ascii="Times New Roman"/>
                <w:highlight w:val="none"/>
              </w:rPr>
            </w:pPr>
            <w:r>
              <w:rPr>
                <w:rFonts w:ascii="Times New Roman"/>
                <w:highlight w:val="none"/>
              </w:rPr>
              <w:t>投标</w:t>
            </w:r>
          </w:p>
          <w:p>
            <w:pPr>
              <w:tabs>
                <w:tab w:val="left" w:pos="4320"/>
              </w:tabs>
              <w:ind w:left="266" w:hanging="266" w:hangingChars="111"/>
              <w:rPr>
                <w:rFonts w:ascii="Times New Roman"/>
                <w:highlight w:val="none"/>
              </w:rPr>
            </w:pPr>
            <w:r>
              <w:rPr>
                <w:rFonts w:ascii="Times New Roman"/>
                <w:highlight w:val="none"/>
              </w:rPr>
              <w:t>产品</w:t>
            </w:r>
          </w:p>
          <w:p>
            <w:pPr>
              <w:tabs>
                <w:tab w:val="left" w:pos="4320"/>
              </w:tabs>
              <w:ind w:left="266" w:hanging="266" w:hangingChars="111"/>
              <w:rPr>
                <w:rFonts w:ascii="Times New Roman"/>
                <w:highlight w:val="none"/>
              </w:rPr>
            </w:pPr>
            <w:r>
              <w:rPr>
                <w:rFonts w:ascii="Times New Roman"/>
                <w:highlight w:val="none"/>
              </w:rPr>
              <w:t>情况</w:t>
            </w:r>
          </w:p>
        </w:tc>
        <w:tc>
          <w:tcPr>
            <w:tcW w:w="1643" w:type="dxa"/>
            <w:gridSpan w:val="3"/>
            <w:vAlign w:val="center"/>
          </w:tcPr>
          <w:p>
            <w:pPr>
              <w:tabs>
                <w:tab w:val="left" w:pos="4320"/>
              </w:tabs>
              <w:spacing w:before="60" w:after="60"/>
              <w:jc w:val="center"/>
              <w:rPr>
                <w:rFonts w:ascii="Times New Roman"/>
                <w:highlight w:val="none"/>
              </w:rPr>
            </w:pPr>
            <w:r>
              <w:rPr>
                <w:rFonts w:ascii="Times New Roman"/>
                <w:highlight w:val="none"/>
              </w:rPr>
              <w:t>本次投标</w:t>
            </w:r>
            <w:r>
              <w:rPr>
                <w:rFonts w:ascii="Times New Roman"/>
                <w:highlight w:val="none"/>
              </w:rPr>
              <w:br w:type="textWrapping"/>
            </w:r>
            <w:r>
              <w:rPr>
                <w:rFonts w:ascii="Times New Roman"/>
                <w:highlight w:val="none"/>
              </w:rPr>
              <w:t>产品名称</w:t>
            </w:r>
          </w:p>
        </w:tc>
        <w:tc>
          <w:tcPr>
            <w:tcW w:w="1617" w:type="dxa"/>
            <w:gridSpan w:val="2"/>
            <w:vAlign w:val="center"/>
          </w:tcPr>
          <w:p>
            <w:pPr>
              <w:tabs>
                <w:tab w:val="left" w:pos="4320"/>
              </w:tabs>
              <w:spacing w:before="60" w:after="60"/>
              <w:jc w:val="center"/>
              <w:rPr>
                <w:rFonts w:ascii="Times New Roman"/>
                <w:highlight w:val="none"/>
              </w:rPr>
            </w:pPr>
            <w:r>
              <w:rPr>
                <w:rFonts w:ascii="Times New Roman"/>
                <w:highlight w:val="none"/>
              </w:rPr>
              <w:t>型    号</w:t>
            </w:r>
          </w:p>
        </w:tc>
        <w:tc>
          <w:tcPr>
            <w:tcW w:w="946" w:type="dxa"/>
            <w:vAlign w:val="center"/>
          </w:tcPr>
          <w:p>
            <w:pPr>
              <w:tabs>
                <w:tab w:val="left" w:pos="4320"/>
              </w:tabs>
              <w:spacing w:before="60" w:after="60"/>
              <w:jc w:val="center"/>
              <w:rPr>
                <w:rFonts w:ascii="Times New Roman"/>
                <w:highlight w:val="none"/>
              </w:rPr>
            </w:pPr>
            <w:r>
              <w:rPr>
                <w:rFonts w:ascii="Times New Roman"/>
                <w:highlight w:val="none"/>
              </w:rPr>
              <w:t>上年</w:t>
            </w:r>
            <w:r>
              <w:rPr>
                <w:rFonts w:ascii="Times New Roman"/>
                <w:highlight w:val="none"/>
              </w:rPr>
              <w:br w:type="textWrapping"/>
            </w:r>
            <w:r>
              <w:rPr>
                <w:rFonts w:ascii="Times New Roman"/>
                <w:highlight w:val="none"/>
              </w:rPr>
              <w:t>产销量</w:t>
            </w:r>
          </w:p>
        </w:tc>
        <w:tc>
          <w:tcPr>
            <w:tcW w:w="1263" w:type="dxa"/>
            <w:vAlign w:val="center"/>
          </w:tcPr>
          <w:p>
            <w:pPr>
              <w:tabs>
                <w:tab w:val="left" w:pos="4320"/>
              </w:tabs>
              <w:spacing w:before="60" w:after="60"/>
              <w:jc w:val="center"/>
              <w:rPr>
                <w:rFonts w:ascii="Times New Roman"/>
                <w:highlight w:val="none"/>
              </w:rPr>
            </w:pPr>
            <w:r>
              <w:rPr>
                <w:rFonts w:ascii="Times New Roman"/>
                <w:highlight w:val="none"/>
              </w:rPr>
              <w:t>产品技术</w:t>
            </w:r>
          </w:p>
          <w:p>
            <w:pPr>
              <w:tabs>
                <w:tab w:val="left" w:pos="4320"/>
              </w:tabs>
              <w:spacing w:before="60" w:after="60"/>
              <w:jc w:val="center"/>
              <w:rPr>
                <w:rFonts w:ascii="Times New Roman"/>
                <w:highlight w:val="none"/>
              </w:rPr>
            </w:pPr>
            <w:r>
              <w:rPr>
                <w:rFonts w:ascii="Times New Roman"/>
                <w:highlight w:val="none"/>
              </w:rPr>
              <w:t>先进水平</w:t>
            </w:r>
          </w:p>
        </w:tc>
        <w:tc>
          <w:tcPr>
            <w:tcW w:w="1273" w:type="dxa"/>
            <w:gridSpan w:val="2"/>
            <w:vAlign w:val="center"/>
          </w:tcPr>
          <w:p>
            <w:pPr>
              <w:tabs>
                <w:tab w:val="left" w:pos="4320"/>
              </w:tabs>
              <w:spacing w:before="60" w:after="60"/>
              <w:jc w:val="center"/>
              <w:rPr>
                <w:rFonts w:ascii="Times New Roman"/>
                <w:highlight w:val="none"/>
              </w:rPr>
            </w:pPr>
            <w:r>
              <w:rPr>
                <w:rFonts w:ascii="Times New Roman"/>
                <w:highlight w:val="none"/>
              </w:rPr>
              <w:t>曾获何级</w:t>
            </w:r>
          </w:p>
          <w:p>
            <w:pPr>
              <w:tabs>
                <w:tab w:val="left" w:pos="4320"/>
              </w:tabs>
              <w:spacing w:before="60" w:after="60"/>
              <w:jc w:val="center"/>
              <w:rPr>
                <w:rFonts w:ascii="Times New Roman"/>
                <w:highlight w:val="none"/>
              </w:rPr>
            </w:pPr>
            <w:r>
              <w:rPr>
                <w:rFonts w:ascii="Times New Roman"/>
                <w:highlight w:val="none"/>
              </w:rPr>
              <w:t>何种奖励</w:t>
            </w:r>
          </w:p>
        </w:tc>
        <w:tc>
          <w:tcPr>
            <w:tcW w:w="1606" w:type="dxa"/>
            <w:gridSpan w:val="2"/>
            <w:tcBorders>
              <w:right w:val="double" w:color="auto" w:sz="4" w:space="0"/>
            </w:tcBorders>
            <w:vAlign w:val="center"/>
          </w:tcPr>
          <w:p>
            <w:pPr>
              <w:tabs>
                <w:tab w:val="left" w:pos="4320"/>
              </w:tabs>
              <w:spacing w:before="60" w:after="60"/>
              <w:jc w:val="center"/>
              <w:rPr>
                <w:rFonts w:ascii="Times New Roman"/>
                <w:highlight w:val="none"/>
              </w:rPr>
            </w:pPr>
            <w:r>
              <w:rPr>
                <w:rFonts w:ascii="Times New Roman"/>
                <w:highlight w:val="none"/>
              </w:rPr>
              <w:t>主要用户</w:t>
            </w:r>
            <w:r>
              <w:rPr>
                <w:rFonts w:ascii="Times New Roman"/>
                <w:highlight w:val="none"/>
              </w:rPr>
              <w:br w:type="textWrapping"/>
            </w:r>
            <w:r>
              <w:rPr>
                <w:rFonts w:ascii="Times New Roman"/>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Times New Roman"/>
                <w:highlight w:val="none"/>
              </w:rPr>
            </w:pPr>
          </w:p>
        </w:tc>
        <w:tc>
          <w:tcPr>
            <w:tcW w:w="1643" w:type="dxa"/>
            <w:gridSpan w:val="3"/>
            <w:vAlign w:val="center"/>
          </w:tcPr>
          <w:p>
            <w:pPr>
              <w:tabs>
                <w:tab w:val="left" w:pos="4320"/>
              </w:tabs>
              <w:rPr>
                <w:rFonts w:ascii="Times New Roman"/>
                <w:highlight w:val="none"/>
              </w:rPr>
            </w:pPr>
          </w:p>
        </w:tc>
        <w:tc>
          <w:tcPr>
            <w:tcW w:w="1617" w:type="dxa"/>
            <w:gridSpan w:val="2"/>
            <w:vAlign w:val="center"/>
          </w:tcPr>
          <w:p>
            <w:pPr>
              <w:tabs>
                <w:tab w:val="left" w:pos="4320"/>
              </w:tabs>
              <w:rPr>
                <w:rFonts w:ascii="Times New Roman"/>
                <w:highlight w:val="none"/>
              </w:rPr>
            </w:pPr>
          </w:p>
        </w:tc>
        <w:tc>
          <w:tcPr>
            <w:tcW w:w="946" w:type="dxa"/>
            <w:vAlign w:val="center"/>
          </w:tcPr>
          <w:p>
            <w:pPr>
              <w:tabs>
                <w:tab w:val="left" w:pos="4320"/>
              </w:tabs>
              <w:rPr>
                <w:rFonts w:ascii="Times New Roman"/>
                <w:highlight w:val="none"/>
              </w:rPr>
            </w:pPr>
          </w:p>
        </w:tc>
        <w:tc>
          <w:tcPr>
            <w:tcW w:w="1263" w:type="dxa"/>
            <w:vAlign w:val="center"/>
          </w:tcPr>
          <w:p>
            <w:pPr>
              <w:tabs>
                <w:tab w:val="left" w:pos="4320"/>
              </w:tabs>
              <w:rPr>
                <w:rFonts w:ascii="Times New Roman"/>
                <w:highlight w:val="none"/>
              </w:rPr>
            </w:pPr>
          </w:p>
        </w:tc>
        <w:tc>
          <w:tcPr>
            <w:tcW w:w="1273" w:type="dxa"/>
            <w:gridSpan w:val="2"/>
            <w:vAlign w:val="center"/>
          </w:tcPr>
          <w:p>
            <w:pPr>
              <w:tabs>
                <w:tab w:val="left" w:pos="4320"/>
              </w:tabs>
              <w:rPr>
                <w:rFonts w:ascii="Times New Roman"/>
                <w:highlight w:val="none"/>
              </w:rPr>
            </w:pPr>
          </w:p>
        </w:tc>
        <w:tc>
          <w:tcPr>
            <w:tcW w:w="1606" w:type="dxa"/>
            <w:gridSpan w:val="2"/>
            <w:tcBorders>
              <w:right w:val="double" w:color="auto" w:sz="4" w:space="0"/>
            </w:tcBorders>
            <w:vAlign w:val="center"/>
          </w:tcPr>
          <w:p>
            <w:pPr>
              <w:tabs>
                <w:tab w:val="left" w:pos="4320"/>
              </w:tabs>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Times New Roman"/>
                <w:highlight w:val="none"/>
              </w:rPr>
            </w:pPr>
          </w:p>
        </w:tc>
        <w:tc>
          <w:tcPr>
            <w:tcW w:w="1643" w:type="dxa"/>
            <w:gridSpan w:val="3"/>
            <w:vAlign w:val="center"/>
          </w:tcPr>
          <w:p>
            <w:pPr>
              <w:tabs>
                <w:tab w:val="left" w:pos="4320"/>
              </w:tabs>
              <w:rPr>
                <w:rFonts w:ascii="Times New Roman"/>
                <w:highlight w:val="none"/>
              </w:rPr>
            </w:pPr>
          </w:p>
        </w:tc>
        <w:tc>
          <w:tcPr>
            <w:tcW w:w="1617" w:type="dxa"/>
            <w:gridSpan w:val="2"/>
            <w:vAlign w:val="center"/>
          </w:tcPr>
          <w:p>
            <w:pPr>
              <w:tabs>
                <w:tab w:val="left" w:pos="4320"/>
              </w:tabs>
              <w:rPr>
                <w:rFonts w:ascii="Times New Roman"/>
                <w:highlight w:val="none"/>
              </w:rPr>
            </w:pPr>
          </w:p>
        </w:tc>
        <w:tc>
          <w:tcPr>
            <w:tcW w:w="946" w:type="dxa"/>
            <w:vAlign w:val="center"/>
          </w:tcPr>
          <w:p>
            <w:pPr>
              <w:tabs>
                <w:tab w:val="left" w:pos="4320"/>
              </w:tabs>
              <w:rPr>
                <w:rFonts w:ascii="Times New Roman"/>
                <w:highlight w:val="none"/>
              </w:rPr>
            </w:pPr>
          </w:p>
        </w:tc>
        <w:tc>
          <w:tcPr>
            <w:tcW w:w="1263" w:type="dxa"/>
            <w:vAlign w:val="center"/>
          </w:tcPr>
          <w:p>
            <w:pPr>
              <w:tabs>
                <w:tab w:val="left" w:pos="4320"/>
              </w:tabs>
              <w:rPr>
                <w:rFonts w:ascii="Times New Roman"/>
                <w:highlight w:val="none"/>
              </w:rPr>
            </w:pPr>
          </w:p>
        </w:tc>
        <w:tc>
          <w:tcPr>
            <w:tcW w:w="1273" w:type="dxa"/>
            <w:gridSpan w:val="2"/>
            <w:vAlign w:val="center"/>
          </w:tcPr>
          <w:p>
            <w:pPr>
              <w:tabs>
                <w:tab w:val="left" w:pos="4320"/>
              </w:tabs>
              <w:rPr>
                <w:rFonts w:ascii="Times New Roman"/>
                <w:highlight w:val="none"/>
              </w:rPr>
            </w:pPr>
          </w:p>
        </w:tc>
        <w:tc>
          <w:tcPr>
            <w:tcW w:w="1606" w:type="dxa"/>
            <w:gridSpan w:val="2"/>
            <w:tcBorders>
              <w:right w:val="double" w:color="auto" w:sz="4" w:space="0"/>
            </w:tcBorders>
            <w:vAlign w:val="center"/>
          </w:tcPr>
          <w:p>
            <w:pPr>
              <w:tabs>
                <w:tab w:val="left" w:pos="4320"/>
              </w:tabs>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Times New Roman"/>
                <w:highlight w:val="none"/>
              </w:rPr>
            </w:pPr>
          </w:p>
        </w:tc>
        <w:tc>
          <w:tcPr>
            <w:tcW w:w="1643" w:type="dxa"/>
            <w:gridSpan w:val="3"/>
            <w:vAlign w:val="center"/>
          </w:tcPr>
          <w:p>
            <w:pPr>
              <w:tabs>
                <w:tab w:val="left" w:pos="4320"/>
              </w:tabs>
              <w:rPr>
                <w:rFonts w:ascii="Times New Roman"/>
                <w:highlight w:val="none"/>
              </w:rPr>
            </w:pPr>
          </w:p>
        </w:tc>
        <w:tc>
          <w:tcPr>
            <w:tcW w:w="1617" w:type="dxa"/>
            <w:gridSpan w:val="2"/>
            <w:vAlign w:val="center"/>
          </w:tcPr>
          <w:p>
            <w:pPr>
              <w:tabs>
                <w:tab w:val="left" w:pos="4320"/>
              </w:tabs>
              <w:rPr>
                <w:rFonts w:ascii="Times New Roman"/>
                <w:highlight w:val="none"/>
              </w:rPr>
            </w:pPr>
          </w:p>
        </w:tc>
        <w:tc>
          <w:tcPr>
            <w:tcW w:w="946" w:type="dxa"/>
            <w:vAlign w:val="center"/>
          </w:tcPr>
          <w:p>
            <w:pPr>
              <w:tabs>
                <w:tab w:val="left" w:pos="4320"/>
              </w:tabs>
              <w:rPr>
                <w:rFonts w:ascii="Times New Roman"/>
                <w:highlight w:val="none"/>
              </w:rPr>
            </w:pPr>
          </w:p>
        </w:tc>
        <w:tc>
          <w:tcPr>
            <w:tcW w:w="1263" w:type="dxa"/>
            <w:vAlign w:val="center"/>
          </w:tcPr>
          <w:p>
            <w:pPr>
              <w:tabs>
                <w:tab w:val="left" w:pos="4320"/>
              </w:tabs>
              <w:rPr>
                <w:rFonts w:ascii="Times New Roman"/>
                <w:highlight w:val="none"/>
              </w:rPr>
            </w:pPr>
          </w:p>
        </w:tc>
        <w:tc>
          <w:tcPr>
            <w:tcW w:w="1273" w:type="dxa"/>
            <w:gridSpan w:val="2"/>
            <w:vAlign w:val="center"/>
          </w:tcPr>
          <w:p>
            <w:pPr>
              <w:tabs>
                <w:tab w:val="left" w:pos="4320"/>
              </w:tabs>
              <w:rPr>
                <w:rFonts w:ascii="Times New Roman"/>
                <w:highlight w:val="none"/>
              </w:rPr>
            </w:pPr>
          </w:p>
        </w:tc>
        <w:tc>
          <w:tcPr>
            <w:tcW w:w="1606" w:type="dxa"/>
            <w:gridSpan w:val="2"/>
            <w:tcBorders>
              <w:right w:val="double" w:color="auto" w:sz="4" w:space="0"/>
            </w:tcBorders>
            <w:vAlign w:val="center"/>
          </w:tcPr>
          <w:p>
            <w:pPr>
              <w:tabs>
                <w:tab w:val="left" w:pos="4320"/>
              </w:tabs>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Times New Roman"/>
                <w:highlight w:val="none"/>
              </w:rPr>
            </w:pPr>
          </w:p>
        </w:tc>
        <w:tc>
          <w:tcPr>
            <w:tcW w:w="1643" w:type="dxa"/>
            <w:gridSpan w:val="3"/>
            <w:vAlign w:val="center"/>
          </w:tcPr>
          <w:p>
            <w:pPr>
              <w:tabs>
                <w:tab w:val="left" w:pos="4320"/>
              </w:tabs>
              <w:rPr>
                <w:rFonts w:ascii="Times New Roman"/>
                <w:highlight w:val="none"/>
              </w:rPr>
            </w:pPr>
          </w:p>
        </w:tc>
        <w:tc>
          <w:tcPr>
            <w:tcW w:w="1617" w:type="dxa"/>
            <w:gridSpan w:val="2"/>
            <w:vAlign w:val="center"/>
          </w:tcPr>
          <w:p>
            <w:pPr>
              <w:tabs>
                <w:tab w:val="left" w:pos="4320"/>
              </w:tabs>
              <w:rPr>
                <w:rFonts w:ascii="Times New Roman"/>
                <w:highlight w:val="none"/>
              </w:rPr>
            </w:pPr>
          </w:p>
        </w:tc>
        <w:tc>
          <w:tcPr>
            <w:tcW w:w="946" w:type="dxa"/>
            <w:vAlign w:val="center"/>
          </w:tcPr>
          <w:p>
            <w:pPr>
              <w:tabs>
                <w:tab w:val="left" w:pos="4320"/>
              </w:tabs>
              <w:rPr>
                <w:rFonts w:ascii="Times New Roman"/>
                <w:highlight w:val="none"/>
              </w:rPr>
            </w:pPr>
          </w:p>
        </w:tc>
        <w:tc>
          <w:tcPr>
            <w:tcW w:w="1263" w:type="dxa"/>
            <w:vAlign w:val="center"/>
          </w:tcPr>
          <w:p>
            <w:pPr>
              <w:tabs>
                <w:tab w:val="left" w:pos="4320"/>
              </w:tabs>
              <w:rPr>
                <w:rFonts w:ascii="Times New Roman"/>
                <w:highlight w:val="none"/>
              </w:rPr>
            </w:pPr>
          </w:p>
        </w:tc>
        <w:tc>
          <w:tcPr>
            <w:tcW w:w="1273" w:type="dxa"/>
            <w:gridSpan w:val="2"/>
            <w:vAlign w:val="center"/>
          </w:tcPr>
          <w:p>
            <w:pPr>
              <w:tabs>
                <w:tab w:val="left" w:pos="4320"/>
              </w:tabs>
              <w:rPr>
                <w:rFonts w:ascii="Times New Roman"/>
                <w:highlight w:val="none"/>
              </w:rPr>
            </w:pPr>
          </w:p>
        </w:tc>
        <w:tc>
          <w:tcPr>
            <w:tcW w:w="1606" w:type="dxa"/>
            <w:gridSpan w:val="2"/>
            <w:tcBorders>
              <w:right w:val="double" w:color="auto" w:sz="4" w:space="0"/>
            </w:tcBorders>
            <w:vAlign w:val="center"/>
          </w:tcPr>
          <w:p>
            <w:pPr>
              <w:tabs>
                <w:tab w:val="left" w:pos="4320"/>
              </w:tabs>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rPr>
                <w:rFonts w:ascii="Times New Roman"/>
                <w:highlight w:val="none"/>
              </w:rPr>
            </w:pPr>
            <w:r>
              <w:rPr>
                <w:rFonts w:ascii="Times New Roman"/>
                <w:highlight w:val="none"/>
              </w:rPr>
              <w:t>其它</w:t>
            </w:r>
          </w:p>
        </w:tc>
        <w:tc>
          <w:tcPr>
            <w:tcW w:w="4206" w:type="dxa"/>
            <w:gridSpan w:val="6"/>
            <w:vAlign w:val="center"/>
          </w:tcPr>
          <w:p>
            <w:pPr>
              <w:tabs>
                <w:tab w:val="left" w:pos="4320"/>
              </w:tabs>
              <w:spacing w:before="60" w:after="60"/>
              <w:rPr>
                <w:rFonts w:ascii="Times New Roman"/>
                <w:highlight w:val="none"/>
              </w:rPr>
            </w:pPr>
            <w:r>
              <w:rPr>
                <w:rFonts w:ascii="Times New Roman"/>
                <w:highlight w:val="none"/>
              </w:rPr>
              <w:t>近3年完成及正在执行的合同中发生的由于投标人违约或部分违约而引起诉讼和受到索赔的案件具体情况及结果（须如实填写，若对此进行隐瞒，尔后又被采购人或采购代理机构发现，或被它人举证成立，其投标资格将被取消）。</w:t>
            </w:r>
          </w:p>
        </w:tc>
        <w:tc>
          <w:tcPr>
            <w:tcW w:w="4142" w:type="dxa"/>
            <w:gridSpan w:val="5"/>
            <w:tcBorders>
              <w:right w:val="double" w:color="auto" w:sz="4" w:space="0"/>
            </w:tcBorders>
            <w:vAlign w:val="center"/>
          </w:tcPr>
          <w:p>
            <w:pPr>
              <w:tabs>
                <w:tab w:val="left" w:pos="4320"/>
              </w:tabs>
              <w:spacing w:before="60" w:after="60"/>
              <w:rPr>
                <w:rFonts w:ascii="Times New Roman"/>
                <w:highlight w:val="none"/>
              </w:rPr>
            </w:pPr>
            <w:r>
              <w:rPr>
                <w:rFonts w:ascii="Times New Roman"/>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pPr>
              <w:tabs>
                <w:tab w:val="left" w:pos="4320"/>
              </w:tabs>
              <w:rPr>
                <w:rFonts w:ascii="Times New Roman"/>
                <w:highlight w:val="none"/>
              </w:rPr>
            </w:pPr>
          </w:p>
        </w:tc>
        <w:tc>
          <w:tcPr>
            <w:tcW w:w="4206" w:type="dxa"/>
            <w:gridSpan w:val="6"/>
            <w:tcBorders>
              <w:bottom w:val="double" w:color="auto" w:sz="4" w:space="0"/>
            </w:tcBorders>
            <w:vAlign w:val="center"/>
          </w:tcPr>
          <w:p>
            <w:pPr>
              <w:tabs>
                <w:tab w:val="left" w:pos="4320"/>
              </w:tabs>
              <w:rPr>
                <w:rFonts w:ascii="Times New Roman"/>
                <w:highlight w:val="none"/>
              </w:rPr>
            </w:pPr>
          </w:p>
        </w:tc>
        <w:tc>
          <w:tcPr>
            <w:tcW w:w="4142" w:type="dxa"/>
            <w:gridSpan w:val="5"/>
            <w:tcBorders>
              <w:bottom w:val="double" w:color="auto" w:sz="4" w:space="0"/>
              <w:right w:val="double" w:color="auto" w:sz="4" w:space="0"/>
            </w:tcBorders>
            <w:vAlign w:val="center"/>
          </w:tcPr>
          <w:p>
            <w:pPr>
              <w:tabs>
                <w:tab w:val="left" w:pos="4320"/>
              </w:tabs>
              <w:rPr>
                <w:rFonts w:ascii="Times New Roman"/>
                <w:highlight w:val="none"/>
              </w:rPr>
            </w:pPr>
          </w:p>
        </w:tc>
      </w:tr>
    </w:tbl>
    <w:p>
      <w:pPr>
        <w:snapToGrid w:val="0"/>
        <w:spacing w:line="300" w:lineRule="auto"/>
        <w:contextualSpacing/>
        <w:rPr>
          <w:rFonts w:ascii="Times New Roman" w:eastAsia="仿宋_GB2312"/>
          <w:sz w:val="28"/>
          <w:szCs w:val="28"/>
          <w:highlight w:val="none"/>
        </w:rPr>
      </w:pPr>
    </w:p>
    <w:p>
      <w:pPr>
        <w:snapToGrid w:val="0"/>
        <w:spacing w:line="400" w:lineRule="exact"/>
        <w:contextualSpacing/>
        <w:rPr>
          <w:rFonts w:hint="eastAsia" w:ascii="Times New Roman" w:eastAsia="方正黑体_GBK"/>
          <w:sz w:val="32"/>
          <w:szCs w:val="32"/>
          <w:highlight w:val="none"/>
        </w:rPr>
      </w:pPr>
      <w:r>
        <w:rPr>
          <w:rFonts w:ascii="Times New Roman" w:eastAsia="方正黑体_GBK"/>
          <w:sz w:val="32"/>
          <w:szCs w:val="32"/>
          <w:highlight w:val="none"/>
        </w:rPr>
        <w:t>附件</w:t>
      </w:r>
      <w:r>
        <w:rPr>
          <w:rFonts w:hint="eastAsia" w:ascii="Times New Roman" w:eastAsia="方正黑体_GBK"/>
          <w:sz w:val="32"/>
          <w:szCs w:val="32"/>
          <w:highlight w:val="none"/>
        </w:rPr>
        <w:t>6</w:t>
      </w:r>
    </w:p>
    <w:p>
      <w:pPr>
        <w:snapToGrid w:val="0"/>
        <w:spacing w:line="300" w:lineRule="auto"/>
        <w:contextualSpacing/>
        <w:jc w:val="center"/>
        <w:rPr>
          <w:rFonts w:ascii="Times New Roman"/>
          <w:b/>
          <w:sz w:val="32"/>
          <w:szCs w:val="32"/>
          <w:highlight w:val="none"/>
        </w:rPr>
      </w:pPr>
      <w:r>
        <w:rPr>
          <w:rFonts w:ascii="Times New Roman"/>
          <w:b/>
          <w:sz w:val="32"/>
          <w:szCs w:val="32"/>
          <w:highlight w:val="none"/>
        </w:rPr>
        <w:t>商务部分正负偏离表</w:t>
      </w:r>
    </w:p>
    <w:p>
      <w:pPr>
        <w:ind w:firstLine="560" w:firstLineChars="200"/>
        <w:jc w:val="center"/>
        <w:rPr>
          <w:rFonts w:ascii="Times New Roman"/>
          <w:sz w:val="28"/>
          <w:szCs w:val="28"/>
          <w:highlight w:val="none"/>
        </w:rPr>
      </w:pPr>
      <w:r>
        <w:rPr>
          <w:rFonts w:ascii="Times New Roman"/>
          <w:sz w:val="28"/>
          <w:szCs w:val="28"/>
          <w:highlight w:val="none"/>
        </w:rPr>
        <w:t>（由投标人据实填写，表格不够自行添加）</w:t>
      </w:r>
    </w:p>
    <w:tbl>
      <w:tblPr>
        <w:tblStyle w:val="18"/>
        <w:tblW w:w="9174"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2301"/>
        <w:gridCol w:w="2009"/>
        <w:gridCol w:w="2593"/>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4" w:hRule="atLeast"/>
        </w:trPr>
        <w:tc>
          <w:tcPr>
            <w:tcW w:w="844" w:type="dxa"/>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Times New Roman"/>
                <w:highlight w:val="none"/>
              </w:rPr>
            </w:pPr>
            <w:r>
              <w:rPr>
                <w:rFonts w:ascii="Times New Roman"/>
                <w:highlight w:val="none"/>
              </w:rPr>
              <w:t>序号</w:t>
            </w:r>
          </w:p>
        </w:tc>
        <w:tc>
          <w:tcPr>
            <w:tcW w:w="2301"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Times New Roman"/>
                <w:highlight w:val="none"/>
              </w:rPr>
            </w:pPr>
            <w:r>
              <w:rPr>
                <w:rFonts w:ascii="Times New Roman"/>
                <w:highlight w:val="none"/>
              </w:rPr>
              <w:t>货物或服务名称</w:t>
            </w:r>
          </w:p>
        </w:tc>
        <w:tc>
          <w:tcPr>
            <w:tcW w:w="2009"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Times New Roman"/>
                <w:highlight w:val="none"/>
              </w:rPr>
            </w:pPr>
            <w:r>
              <w:rPr>
                <w:rFonts w:ascii="Times New Roman"/>
                <w:highlight w:val="none"/>
              </w:rPr>
              <w:t>招标文件要求的商务条款</w:t>
            </w:r>
          </w:p>
        </w:tc>
        <w:tc>
          <w:tcPr>
            <w:tcW w:w="2593"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Times New Roman"/>
                <w:highlight w:val="none"/>
              </w:rPr>
            </w:pPr>
            <w:r>
              <w:rPr>
                <w:rFonts w:ascii="Times New Roman"/>
                <w:highlight w:val="none"/>
              </w:rPr>
              <w:t>投标文件响应情况</w:t>
            </w:r>
          </w:p>
        </w:tc>
        <w:tc>
          <w:tcPr>
            <w:tcW w:w="1427" w:type="dxa"/>
            <w:tcBorders>
              <w:top w:val="single" w:color="auto" w:sz="12" w:space="0"/>
              <w:left w:val="single" w:color="auto" w:sz="6" w:space="0"/>
              <w:bottom w:val="single" w:color="auto" w:sz="6" w:space="0"/>
              <w:right w:val="single" w:color="auto" w:sz="12" w:space="0"/>
            </w:tcBorders>
            <w:vAlign w:val="top"/>
          </w:tcPr>
          <w:p>
            <w:pPr>
              <w:spacing w:line="340" w:lineRule="exact"/>
              <w:jc w:val="center"/>
              <w:rPr>
                <w:rFonts w:ascii="Times New Roman"/>
                <w:highlight w:val="none"/>
              </w:rPr>
            </w:pPr>
          </w:p>
          <w:p>
            <w:pPr>
              <w:spacing w:line="340" w:lineRule="exact"/>
              <w:jc w:val="center"/>
              <w:rPr>
                <w:rFonts w:ascii="Times New Roman"/>
                <w:highlight w:val="none"/>
              </w:rPr>
            </w:pPr>
            <w:r>
              <w:rPr>
                <w:rFonts w:ascii="Times New Roman"/>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trPr>
        <w:tc>
          <w:tcPr>
            <w:tcW w:w="844" w:type="dxa"/>
            <w:tcBorders>
              <w:top w:val="single" w:color="auto" w:sz="6" w:space="0"/>
              <w:left w:val="single" w:color="auto" w:sz="12" w:space="0"/>
              <w:bottom w:val="single" w:color="auto" w:sz="6" w:space="0"/>
              <w:right w:val="single" w:color="auto" w:sz="6" w:space="0"/>
            </w:tcBorders>
            <w:vAlign w:val="top"/>
          </w:tcPr>
          <w:p>
            <w:pPr>
              <w:spacing w:line="340" w:lineRule="exact"/>
              <w:jc w:val="center"/>
              <w:rPr>
                <w:rFonts w:ascii="Times New Roman"/>
                <w:highlight w:val="none"/>
              </w:rPr>
            </w:pPr>
            <w:r>
              <w:rPr>
                <w:rFonts w:ascii="Times New Roman"/>
                <w:highlight w:val="none"/>
              </w:rPr>
              <w:t>1</w:t>
            </w:r>
          </w:p>
        </w:tc>
        <w:tc>
          <w:tcPr>
            <w:tcW w:w="2301"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009"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593"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1427" w:type="dxa"/>
            <w:tcBorders>
              <w:top w:val="single" w:color="auto" w:sz="6" w:space="0"/>
              <w:left w:val="single" w:color="auto" w:sz="6" w:space="0"/>
              <w:bottom w:val="single" w:color="auto" w:sz="6" w:space="0"/>
              <w:right w:val="single" w:color="auto" w:sz="12" w:space="0"/>
            </w:tcBorders>
            <w:vAlign w:val="top"/>
          </w:tcPr>
          <w:p>
            <w:pPr>
              <w:spacing w:line="340" w:lineRule="exact"/>
              <w:jc w:val="left"/>
              <w:rPr>
                <w:rFonts w:asci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8" w:hRule="atLeast"/>
        </w:trPr>
        <w:tc>
          <w:tcPr>
            <w:tcW w:w="844" w:type="dxa"/>
            <w:tcBorders>
              <w:top w:val="single" w:color="auto" w:sz="6" w:space="0"/>
              <w:left w:val="single" w:color="auto" w:sz="12" w:space="0"/>
              <w:bottom w:val="single" w:color="auto" w:sz="6" w:space="0"/>
              <w:right w:val="single" w:color="auto" w:sz="6" w:space="0"/>
            </w:tcBorders>
            <w:vAlign w:val="top"/>
          </w:tcPr>
          <w:p>
            <w:pPr>
              <w:spacing w:line="340" w:lineRule="exact"/>
              <w:jc w:val="center"/>
              <w:rPr>
                <w:rFonts w:ascii="Times New Roman"/>
                <w:highlight w:val="none"/>
              </w:rPr>
            </w:pPr>
            <w:r>
              <w:rPr>
                <w:rFonts w:ascii="Times New Roman"/>
                <w:highlight w:val="none"/>
              </w:rPr>
              <w:t>2</w:t>
            </w:r>
          </w:p>
        </w:tc>
        <w:tc>
          <w:tcPr>
            <w:tcW w:w="2301"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009"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593"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1427" w:type="dxa"/>
            <w:tcBorders>
              <w:top w:val="single" w:color="auto" w:sz="6" w:space="0"/>
              <w:left w:val="single" w:color="auto" w:sz="6" w:space="0"/>
              <w:bottom w:val="single" w:color="auto" w:sz="6" w:space="0"/>
              <w:right w:val="single" w:color="auto" w:sz="12" w:space="0"/>
            </w:tcBorders>
            <w:vAlign w:val="top"/>
          </w:tcPr>
          <w:p>
            <w:pPr>
              <w:spacing w:line="340" w:lineRule="exact"/>
              <w:jc w:val="left"/>
              <w:rPr>
                <w:rFonts w:asci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44" w:type="dxa"/>
            <w:tcBorders>
              <w:top w:val="single" w:color="auto" w:sz="6" w:space="0"/>
              <w:left w:val="single" w:color="auto" w:sz="12" w:space="0"/>
              <w:bottom w:val="single" w:color="auto" w:sz="6" w:space="0"/>
              <w:right w:val="single" w:color="auto" w:sz="6" w:space="0"/>
            </w:tcBorders>
            <w:vAlign w:val="top"/>
          </w:tcPr>
          <w:p>
            <w:pPr>
              <w:spacing w:line="340" w:lineRule="exact"/>
              <w:jc w:val="center"/>
              <w:rPr>
                <w:rFonts w:ascii="Times New Roman"/>
                <w:highlight w:val="none"/>
              </w:rPr>
            </w:pPr>
            <w:r>
              <w:rPr>
                <w:rFonts w:ascii="Times New Roman"/>
                <w:highlight w:val="none"/>
              </w:rPr>
              <w:t>3</w:t>
            </w:r>
          </w:p>
        </w:tc>
        <w:tc>
          <w:tcPr>
            <w:tcW w:w="2301"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009"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593"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1427" w:type="dxa"/>
            <w:tcBorders>
              <w:top w:val="single" w:color="auto" w:sz="6" w:space="0"/>
              <w:left w:val="single" w:color="auto" w:sz="6" w:space="0"/>
              <w:bottom w:val="single" w:color="auto" w:sz="6" w:space="0"/>
              <w:right w:val="single" w:color="auto" w:sz="12" w:space="0"/>
            </w:tcBorders>
            <w:vAlign w:val="top"/>
          </w:tcPr>
          <w:p>
            <w:pPr>
              <w:spacing w:line="340" w:lineRule="exact"/>
              <w:jc w:val="left"/>
              <w:rPr>
                <w:rFonts w:asci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9" w:hRule="atLeast"/>
        </w:trPr>
        <w:tc>
          <w:tcPr>
            <w:tcW w:w="844" w:type="dxa"/>
            <w:tcBorders>
              <w:top w:val="single" w:color="auto" w:sz="6" w:space="0"/>
              <w:left w:val="single" w:color="auto" w:sz="12" w:space="0"/>
              <w:bottom w:val="single" w:color="auto" w:sz="6" w:space="0"/>
              <w:right w:val="single" w:color="auto" w:sz="6" w:space="0"/>
            </w:tcBorders>
            <w:vAlign w:val="top"/>
          </w:tcPr>
          <w:p>
            <w:pPr>
              <w:spacing w:line="340" w:lineRule="exact"/>
              <w:jc w:val="center"/>
              <w:rPr>
                <w:rFonts w:ascii="Times New Roman"/>
                <w:highlight w:val="none"/>
              </w:rPr>
            </w:pPr>
            <w:r>
              <w:rPr>
                <w:rFonts w:ascii="Times New Roman"/>
                <w:highlight w:val="none"/>
              </w:rPr>
              <w:t>4</w:t>
            </w:r>
          </w:p>
        </w:tc>
        <w:tc>
          <w:tcPr>
            <w:tcW w:w="2301"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009"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593"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1427" w:type="dxa"/>
            <w:tcBorders>
              <w:top w:val="single" w:color="auto" w:sz="6" w:space="0"/>
              <w:left w:val="single" w:color="auto" w:sz="6" w:space="0"/>
              <w:bottom w:val="single" w:color="auto" w:sz="6" w:space="0"/>
              <w:right w:val="single" w:color="auto" w:sz="12" w:space="0"/>
            </w:tcBorders>
            <w:vAlign w:val="top"/>
          </w:tcPr>
          <w:p>
            <w:pPr>
              <w:spacing w:line="340" w:lineRule="exact"/>
              <w:jc w:val="left"/>
              <w:rPr>
                <w:rFonts w:ascii="Times New Roman"/>
                <w:highlight w:val="none"/>
              </w:rPr>
            </w:pPr>
          </w:p>
        </w:tc>
      </w:tr>
    </w:tbl>
    <w:p>
      <w:pPr>
        <w:snapToGrid w:val="0"/>
        <w:spacing w:line="300" w:lineRule="auto"/>
        <w:contextualSpacing/>
        <w:rPr>
          <w:rFonts w:ascii="Times New Roman"/>
          <w:b/>
          <w:highlight w:val="none"/>
        </w:rPr>
      </w:pPr>
      <w:r>
        <w:rPr>
          <w:rFonts w:ascii="Times New Roman"/>
          <w:b/>
          <w:highlight w:val="none"/>
        </w:rPr>
        <w:t>注：</w:t>
      </w:r>
    </w:p>
    <w:p>
      <w:pPr>
        <w:snapToGrid w:val="0"/>
        <w:spacing w:line="300" w:lineRule="auto"/>
        <w:ind w:firstLine="480" w:firstLineChars="200"/>
        <w:contextualSpacing/>
        <w:rPr>
          <w:rFonts w:ascii="Times New Roman"/>
          <w:color w:val="000000"/>
          <w:highlight w:val="none"/>
        </w:rPr>
      </w:pPr>
      <w:r>
        <w:rPr>
          <w:rFonts w:ascii="Times New Roman"/>
          <w:highlight w:val="none"/>
        </w:rPr>
        <w:t>1.</w:t>
      </w:r>
      <w:r>
        <w:rPr>
          <w:rFonts w:ascii="Times New Roman"/>
          <w:color w:val="000000"/>
          <w:highlight w:val="none"/>
        </w:rPr>
        <w:t>投标人提交的投标文件中与招标文件第三部分“项目需求”中的商务部分的要求，应逐条填列在偏离表中。</w:t>
      </w:r>
    </w:p>
    <w:p>
      <w:pPr>
        <w:snapToGrid w:val="0"/>
        <w:spacing w:line="300" w:lineRule="auto"/>
        <w:ind w:firstLine="480" w:firstLineChars="200"/>
        <w:contextualSpacing/>
        <w:rPr>
          <w:rFonts w:ascii="Times New Roman"/>
          <w:color w:val="000000"/>
          <w:highlight w:val="none"/>
        </w:rPr>
      </w:pPr>
      <w:r>
        <w:rPr>
          <w:rFonts w:ascii="Times New Roman"/>
          <w:color w:val="000000"/>
          <w:highlight w:val="none"/>
        </w:rPr>
        <w:t>2.</w:t>
      </w:r>
      <w:r>
        <w:rPr>
          <w:rFonts w:ascii="Times New Roman"/>
          <w:highlight w:val="none"/>
        </w:rPr>
        <w:t>“偏离说明”一栏选择“正偏离”、</w:t>
      </w:r>
      <w:r>
        <w:rPr>
          <w:rFonts w:ascii="Times New Roman"/>
          <w:color w:val="FF0000"/>
          <w:highlight w:val="none"/>
        </w:rPr>
        <w:t>“无偏离”、</w:t>
      </w:r>
      <w:r>
        <w:rPr>
          <w:rFonts w:ascii="Times New Roman"/>
          <w:highlight w:val="none"/>
        </w:rPr>
        <w:t>“负偏离”进行填写。正偏离、</w:t>
      </w:r>
      <w:r>
        <w:rPr>
          <w:rFonts w:ascii="Times New Roman"/>
          <w:color w:val="FF0000"/>
          <w:highlight w:val="none"/>
        </w:rPr>
        <w:t>无偏离</w:t>
      </w:r>
      <w:r>
        <w:rPr>
          <w:rFonts w:ascii="Times New Roman"/>
          <w:highlight w:val="none"/>
        </w:rPr>
        <w:t>的确认和</w:t>
      </w:r>
      <w:r>
        <w:rPr>
          <w:rFonts w:ascii="Times New Roman"/>
          <w:color w:val="000000"/>
          <w:highlight w:val="none"/>
        </w:rPr>
        <w:t>负偏离的是否响应招标文件，由评委认定。</w:t>
      </w:r>
    </w:p>
    <w:p>
      <w:pPr>
        <w:snapToGrid w:val="0"/>
        <w:spacing w:line="300" w:lineRule="auto"/>
        <w:ind w:firstLine="480" w:firstLineChars="200"/>
        <w:contextualSpacing/>
        <w:rPr>
          <w:rFonts w:ascii="Times New Roman"/>
          <w:bCs/>
          <w:highlight w:val="none"/>
        </w:rPr>
      </w:pPr>
      <w:r>
        <w:rPr>
          <w:rFonts w:ascii="Times New Roman"/>
          <w:highlight w:val="none"/>
        </w:rPr>
        <w:t>3.</w:t>
      </w:r>
      <w:r>
        <w:rPr>
          <w:rFonts w:ascii="Times New Roman"/>
          <w:bCs/>
          <w:highlight w:val="none"/>
        </w:rPr>
        <w:t>供应商若提供其他增值服务，可以在表中自行据实填写。</w:t>
      </w: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contextualSpacing/>
        <w:rPr>
          <w:rFonts w:ascii="Times New Roman" w:eastAsia="方正黑体_GBK"/>
          <w:sz w:val="32"/>
          <w:szCs w:val="32"/>
          <w:highlight w:val="none"/>
        </w:rPr>
      </w:pPr>
    </w:p>
    <w:p>
      <w:pPr>
        <w:snapToGrid w:val="0"/>
        <w:spacing w:line="400" w:lineRule="exact"/>
        <w:contextualSpacing/>
        <w:rPr>
          <w:rFonts w:ascii="Times New Roman" w:eastAsia="方正黑体_GBK"/>
          <w:sz w:val="32"/>
          <w:szCs w:val="32"/>
          <w:highlight w:val="none"/>
        </w:rPr>
      </w:pPr>
    </w:p>
    <w:p>
      <w:pPr>
        <w:snapToGrid w:val="0"/>
        <w:spacing w:line="400" w:lineRule="exact"/>
        <w:contextualSpacing/>
        <w:rPr>
          <w:rFonts w:hint="eastAsia" w:ascii="Times New Roman" w:eastAsia="方正黑体_GBK"/>
          <w:sz w:val="32"/>
          <w:szCs w:val="32"/>
          <w:highlight w:val="none"/>
        </w:rPr>
      </w:pPr>
      <w:r>
        <w:rPr>
          <w:rFonts w:ascii="Times New Roman" w:eastAsia="方正黑体_GBK"/>
          <w:sz w:val="32"/>
          <w:szCs w:val="32"/>
          <w:highlight w:val="none"/>
        </w:rPr>
        <w:t>附件</w:t>
      </w:r>
      <w:r>
        <w:rPr>
          <w:rFonts w:hint="eastAsia" w:ascii="Times New Roman" w:eastAsia="方正黑体_GBK"/>
          <w:sz w:val="32"/>
          <w:szCs w:val="32"/>
          <w:highlight w:val="none"/>
        </w:rPr>
        <w:t>7</w:t>
      </w:r>
    </w:p>
    <w:p>
      <w:pPr>
        <w:snapToGrid w:val="0"/>
        <w:spacing w:line="300" w:lineRule="auto"/>
        <w:contextualSpacing/>
        <w:jc w:val="center"/>
        <w:rPr>
          <w:rFonts w:ascii="Times New Roman"/>
          <w:b/>
          <w:sz w:val="32"/>
          <w:szCs w:val="32"/>
          <w:highlight w:val="none"/>
        </w:rPr>
      </w:pPr>
      <w:r>
        <w:rPr>
          <w:rFonts w:ascii="Times New Roman"/>
          <w:b/>
          <w:sz w:val="32"/>
          <w:szCs w:val="32"/>
          <w:highlight w:val="none"/>
        </w:rPr>
        <w:t>技术部分正负偏离表</w:t>
      </w:r>
    </w:p>
    <w:p>
      <w:pPr>
        <w:ind w:firstLine="560" w:firstLineChars="200"/>
        <w:jc w:val="center"/>
        <w:rPr>
          <w:rFonts w:ascii="Times New Roman"/>
          <w:sz w:val="28"/>
          <w:szCs w:val="28"/>
          <w:highlight w:val="none"/>
        </w:rPr>
      </w:pPr>
      <w:r>
        <w:rPr>
          <w:rFonts w:ascii="Times New Roman"/>
          <w:sz w:val="28"/>
          <w:szCs w:val="28"/>
          <w:highlight w:val="none"/>
        </w:rPr>
        <w:t>（由投标人据实填写，表格不够自行添加）</w:t>
      </w:r>
    </w:p>
    <w:tbl>
      <w:tblPr>
        <w:tblStyle w:val="18"/>
        <w:tblW w:w="9174"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2301"/>
        <w:gridCol w:w="2009"/>
        <w:gridCol w:w="2593"/>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4" w:hRule="atLeast"/>
        </w:trPr>
        <w:tc>
          <w:tcPr>
            <w:tcW w:w="844" w:type="dxa"/>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Times New Roman"/>
                <w:highlight w:val="none"/>
              </w:rPr>
            </w:pPr>
            <w:r>
              <w:rPr>
                <w:rFonts w:ascii="Times New Roman"/>
                <w:highlight w:val="none"/>
              </w:rPr>
              <w:t>序号</w:t>
            </w:r>
          </w:p>
        </w:tc>
        <w:tc>
          <w:tcPr>
            <w:tcW w:w="2301"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Times New Roman"/>
                <w:highlight w:val="none"/>
              </w:rPr>
            </w:pPr>
            <w:r>
              <w:rPr>
                <w:rFonts w:ascii="Times New Roman"/>
                <w:highlight w:val="none"/>
              </w:rPr>
              <w:t>货物或服务名称</w:t>
            </w:r>
          </w:p>
        </w:tc>
        <w:tc>
          <w:tcPr>
            <w:tcW w:w="2009"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Times New Roman"/>
                <w:highlight w:val="none"/>
              </w:rPr>
            </w:pPr>
            <w:r>
              <w:rPr>
                <w:rFonts w:ascii="Times New Roman"/>
                <w:highlight w:val="none"/>
              </w:rPr>
              <w:t>招标文件要求的技术要求</w:t>
            </w:r>
          </w:p>
        </w:tc>
        <w:tc>
          <w:tcPr>
            <w:tcW w:w="2593"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Times New Roman"/>
                <w:highlight w:val="none"/>
              </w:rPr>
            </w:pPr>
            <w:r>
              <w:rPr>
                <w:rFonts w:ascii="Times New Roman"/>
                <w:highlight w:val="none"/>
              </w:rPr>
              <w:t>投标文件响应情况</w:t>
            </w:r>
          </w:p>
        </w:tc>
        <w:tc>
          <w:tcPr>
            <w:tcW w:w="1427" w:type="dxa"/>
            <w:tcBorders>
              <w:top w:val="single" w:color="auto" w:sz="12" w:space="0"/>
              <w:left w:val="single" w:color="auto" w:sz="6" w:space="0"/>
              <w:bottom w:val="single" w:color="auto" w:sz="6" w:space="0"/>
              <w:right w:val="single" w:color="auto" w:sz="12" w:space="0"/>
            </w:tcBorders>
            <w:vAlign w:val="top"/>
          </w:tcPr>
          <w:p>
            <w:pPr>
              <w:spacing w:line="340" w:lineRule="exact"/>
              <w:jc w:val="center"/>
              <w:rPr>
                <w:rFonts w:ascii="Times New Roman"/>
                <w:highlight w:val="none"/>
              </w:rPr>
            </w:pPr>
          </w:p>
          <w:p>
            <w:pPr>
              <w:spacing w:line="340" w:lineRule="exact"/>
              <w:jc w:val="center"/>
              <w:rPr>
                <w:rFonts w:ascii="Times New Roman"/>
                <w:highlight w:val="none"/>
              </w:rPr>
            </w:pPr>
            <w:r>
              <w:rPr>
                <w:rFonts w:ascii="Times New Roman"/>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trPr>
        <w:tc>
          <w:tcPr>
            <w:tcW w:w="844" w:type="dxa"/>
            <w:tcBorders>
              <w:top w:val="single" w:color="auto" w:sz="6" w:space="0"/>
              <w:left w:val="single" w:color="auto" w:sz="12" w:space="0"/>
              <w:bottom w:val="single" w:color="auto" w:sz="6" w:space="0"/>
              <w:right w:val="single" w:color="auto" w:sz="6" w:space="0"/>
            </w:tcBorders>
            <w:vAlign w:val="top"/>
          </w:tcPr>
          <w:p>
            <w:pPr>
              <w:spacing w:line="340" w:lineRule="exact"/>
              <w:jc w:val="center"/>
              <w:rPr>
                <w:rFonts w:ascii="Times New Roman"/>
                <w:highlight w:val="none"/>
              </w:rPr>
            </w:pPr>
            <w:r>
              <w:rPr>
                <w:rFonts w:ascii="Times New Roman"/>
                <w:highlight w:val="none"/>
              </w:rPr>
              <w:t>1</w:t>
            </w:r>
          </w:p>
        </w:tc>
        <w:tc>
          <w:tcPr>
            <w:tcW w:w="2301"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009"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593"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1427" w:type="dxa"/>
            <w:tcBorders>
              <w:top w:val="single" w:color="auto" w:sz="6" w:space="0"/>
              <w:left w:val="single" w:color="auto" w:sz="6" w:space="0"/>
              <w:bottom w:val="single" w:color="auto" w:sz="6" w:space="0"/>
              <w:right w:val="single" w:color="auto" w:sz="12" w:space="0"/>
            </w:tcBorders>
            <w:vAlign w:val="top"/>
          </w:tcPr>
          <w:p>
            <w:pPr>
              <w:spacing w:line="340" w:lineRule="exact"/>
              <w:jc w:val="left"/>
              <w:rPr>
                <w:rFonts w:asci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8" w:hRule="atLeast"/>
        </w:trPr>
        <w:tc>
          <w:tcPr>
            <w:tcW w:w="844" w:type="dxa"/>
            <w:tcBorders>
              <w:top w:val="single" w:color="auto" w:sz="6" w:space="0"/>
              <w:left w:val="single" w:color="auto" w:sz="12" w:space="0"/>
              <w:bottom w:val="single" w:color="auto" w:sz="6" w:space="0"/>
              <w:right w:val="single" w:color="auto" w:sz="6" w:space="0"/>
            </w:tcBorders>
            <w:vAlign w:val="top"/>
          </w:tcPr>
          <w:p>
            <w:pPr>
              <w:spacing w:line="340" w:lineRule="exact"/>
              <w:jc w:val="center"/>
              <w:rPr>
                <w:rFonts w:ascii="Times New Roman"/>
                <w:highlight w:val="none"/>
              </w:rPr>
            </w:pPr>
            <w:r>
              <w:rPr>
                <w:rFonts w:ascii="Times New Roman"/>
                <w:highlight w:val="none"/>
              </w:rPr>
              <w:t>2</w:t>
            </w:r>
          </w:p>
        </w:tc>
        <w:tc>
          <w:tcPr>
            <w:tcW w:w="2301"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009"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593"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1427" w:type="dxa"/>
            <w:tcBorders>
              <w:top w:val="single" w:color="auto" w:sz="6" w:space="0"/>
              <w:left w:val="single" w:color="auto" w:sz="6" w:space="0"/>
              <w:bottom w:val="single" w:color="auto" w:sz="6" w:space="0"/>
              <w:right w:val="single" w:color="auto" w:sz="12" w:space="0"/>
            </w:tcBorders>
            <w:vAlign w:val="top"/>
          </w:tcPr>
          <w:p>
            <w:pPr>
              <w:spacing w:line="340" w:lineRule="exact"/>
              <w:jc w:val="left"/>
              <w:rPr>
                <w:rFonts w:asci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44" w:type="dxa"/>
            <w:tcBorders>
              <w:top w:val="single" w:color="auto" w:sz="6" w:space="0"/>
              <w:left w:val="single" w:color="auto" w:sz="12" w:space="0"/>
              <w:bottom w:val="single" w:color="auto" w:sz="6" w:space="0"/>
              <w:right w:val="single" w:color="auto" w:sz="6" w:space="0"/>
            </w:tcBorders>
            <w:vAlign w:val="top"/>
          </w:tcPr>
          <w:p>
            <w:pPr>
              <w:spacing w:line="340" w:lineRule="exact"/>
              <w:jc w:val="center"/>
              <w:rPr>
                <w:rFonts w:ascii="Times New Roman"/>
                <w:highlight w:val="none"/>
              </w:rPr>
            </w:pPr>
            <w:r>
              <w:rPr>
                <w:rFonts w:ascii="Times New Roman"/>
                <w:highlight w:val="none"/>
              </w:rPr>
              <w:t>3</w:t>
            </w:r>
          </w:p>
        </w:tc>
        <w:tc>
          <w:tcPr>
            <w:tcW w:w="2301"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009"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593"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1427" w:type="dxa"/>
            <w:tcBorders>
              <w:top w:val="single" w:color="auto" w:sz="6" w:space="0"/>
              <w:left w:val="single" w:color="auto" w:sz="6" w:space="0"/>
              <w:bottom w:val="single" w:color="auto" w:sz="6" w:space="0"/>
              <w:right w:val="single" w:color="auto" w:sz="12" w:space="0"/>
            </w:tcBorders>
            <w:vAlign w:val="top"/>
          </w:tcPr>
          <w:p>
            <w:pPr>
              <w:spacing w:line="340" w:lineRule="exact"/>
              <w:jc w:val="left"/>
              <w:rPr>
                <w:rFonts w:asci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9" w:hRule="atLeast"/>
        </w:trPr>
        <w:tc>
          <w:tcPr>
            <w:tcW w:w="844" w:type="dxa"/>
            <w:tcBorders>
              <w:top w:val="single" w:color="auto" w:sz="6" w:space="0"/>
              <w:left w:val="single" w:color="auto" w:sz="12" w:space="0"/>
              <w:bottom w:val="single" w:color="auto" w:sz="6" w:space="0"/>
              <w:right w:val="single" w:color="auto" w:sz="6" w:space="0"/>
            </w:tcBorders>
            <w:vAlign w:val="top"/>
          </w:tcPr>
          <w:p>
            <w:pPr>
              <w:spacing w:line="340" w:lineRule="exact"/>
              <w:jc w:val="center"/>
              <w:rPr>
                <w:rFonts w:ascii="Times New Roman"/>
                <w:highlight w:val="none"/>
              </w:rPr>
            </w:pPr>
            <w:r>
              <w:rPr>
                <w:rFonts w:ascii="Times New Roman"/>
                <w:highlight w:val="none"/>
              </w:rPr>
              <w:t>4</w:t>
            </w:r>
          </w:p>
        </w:tc>
        <w:tc>
          <w:tcPr>
            <w:tcW w:w="2301"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009"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2593" w:type="dxa"/>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Times New Roman"/>
                <w:highlight w:val="none"/>
              </w:rPr>
            </w:pPr>
          </w:p>
        </w:tc>
        <w:tc>
          <w:tcPr>
            <w:tcW w:w="1427" w:type="dxa"/>
            <w:tcBorders>
              <w:top w:val="single" w:color="auto" w:sz="6" w:space="0"/>
              <w:left w:val="single" w:color="auto" w:sz="6" w:space="0"/>
              <w:bottom w:val="single" w:color="auto" w:sz="6" w:space="0"/>
              <w:right w:val="single" w:color="auto" w:sz="12" w:space="0"/>
            </w:tcBorders>
            <w:vAlign w:val="top"/>
          </w:tcPr>
          <w:p>
            <w:pPr>
              <w:spacing w:line="340" w:lineRule="exact"/>
              <w:jc w:val="left"/>
              <w:rPr>
                <w:rFonts w:ascii="Times New Roman"/>
                <w:highlight w:val="none"/>
              </w:rPr>
            </w:pPr>
          </w:p>
        </w:tc>
      </w:tr>
    </w:tbl>
    <w:p>
      <w:pPr>
        <w:snapToGrid w:val="0"/>
        <w:spacing w:line="300" w:lineRule="auto"/>
        <w:contextualSpacing/>
        <w:rPr>
          <w:rFonts w:ascii="Times New Roman"/>
          <w:b/>
          <w:highlight w:val="none"/>
        </w:rPr>
      </w:pPr>
      <w:r>
        <w:rPr>
          <w:rFonts w:ascii="Times New Roman"/>
          <w:b/>
          <w:highlight w:val="none"/>
        </w:rPr>
        <w:t>注：</w:t>
      </w:r>
    </w:p>
    <w:p>
      <w:pPr>
        <w:snapToGrid w:val="0"/>
        <w:spacing w:line="300" w:lineRule="auto"/>
        <w:ind w:firstLine="480" w:firstLineChars="200"/>
        <w:contextualSpacing/>
        <w:rPr>
          <w:rFonts w:ascii="Times New Roman"/>
          <w:color w:val="000000"/>
          <w:highlight w:val="none"/>
        </w:rPr>
      </w:pPr>
      <w:r>
        <w:rPr>
          <w:rFonts w:ascii="Times New Roman"/>
          <w:highlight w:val="none"/>
        </w:rPr>
        <w:t>1.</w:t>
      </w:r>
      <w:r>
        <w:rPr>
          <w:rFonts w:ascii="Times New Roman"/>
          <w:color w:val="000000"/>
          <w:highlight w:val="none"/>
        </w:rPr>
        <w:t>投标人提交的投标文件中与招标文件第三部分“项目需求”中的技术部分的要求，应逐条填列在偏离表中。</w:t>
      </w:r>
    </w:p>
    <w:p>
      <w:pPr>
        <w:snapToGrid w:val="0"/>
        <w:spacing w:line="300" w:lineRule="auto"/>
        <w:ind w:firstLine="480" w:firstLineChars="200"/>
        <w:contextualSpacing/>
        <w:rPr>
          <w:rFonts w:ascii="Times New Roman"/>
          <w:highlight w:val="none"/>
        </w:rPr>
      </w:pPr>
      <w:r>
        <w:rPr>
          <w:rFonts w:ascii="Times New Roman"/>
          <w:color w:val="000000"/>
          <w:highlight w:val="none"/>
        </w:rPr>
        <w:t>2.</w:t>
      </w:r>
      <w:r>
        <w:rPr>
          <w:rFonts w:ascii="Times New Roman"/>
          <w:highlight w:val="none"/>
        </w:rPr>
        <w:t xml:space="preserve"> “偏离说明”一栏选择“正偏离”、</w:t>
      </w:r>
      <w:r>
        <w:rPr>
          <w:rFonts w:ascii="Times New Roman"/>
          <w:color w:val="FF0000"/>
          <w:highlight w:val="none"/>
        </w:rPr>
        <w:t>“无偏离”、</w:t>
      </w:r>
      <w:r>
        <w:rPr>
          <w:rFonts w:ascii="Times New Roman"/>
          <w:highlight w:val="none"/>
        </w:rPr>
        <w:t>“负偏离”进行填写。正偏离、</w:t>
      </w:r>
      <w:r>
        <w:rPr>
          <w:rFonts w:ascii="Times New Roman"/>
          <w:color w:val="FF0000"/>
          <w:highlight w:val="none"/>
        </w:rPr>
        <w:t>无偏离</w:t>
      </w:r>
      <w:r>
        <w:rPr>
          <w:rFonts w:ascii="Times New Roman"/>
          <w:highlight w:val="none"/>
        </w:rPr>
        <w:t>的确认和</w:t>
      </w:r>
      <w:r>
        <w:rPr>
          <w:rFonts w:ascii="Times New Roman"/>
          <w:color w:val="000000"/>
          <w:highlight w:val="none"/>
        </w:rPr>
        <w:t>负偏离的是否响应招标文件，由评委认定。</w:t>
      </w:r>
    </w:p>
    <w:p>
      <w:pPr>
        <w:snapToGrid w:val="0"/>
        <w:spacing w:line="300" w:lineRule="auto"/>
        <w:ind w:firstLine="480" w:firstLineChars="200"/>
        <w:contextualSpacing/>
        <w:rPr>
          <w:rFonts w:ascii="Times New Roman"/>
          <w:highlight w:val="none"/>
        </w:rPr>
      </w:pPr>
      <w:r>
        <w:rPr>
          <w:rFonts w:ascii="Times New Roman"/>
          <w:highlight w:val="none"/>
        </w:rPr>
        <w:t>3.所投品牌型号，必须确定、唯一。</w:t>
      </w:r>
    </w:p>
    <w:p>
      <w:pPr>
        <w:snapToGrid w:val="0"/>
        <w:spacing w:line="300" w:lineRule="auto"/>
        <w:ind w:firstLine="480" w:firstLineChars="200"/>
        <w:contextualSpacing/>
        <w:rPr>
          <w:rFonts w:ascii="Times New Roman"/>
          <w:highlight w:val="none"/>
        </w:rPr>
      </w:pPr>
      <w:r>
        <w:rPr>
          <w:rFonts w:ascii="Times New Roman"/>
          <w:bCs/>
          <w:highlight w:val="none"/>
        </w:rPr>
        <w:t>4.供应商若提供其他增值服务，可以在表中自行据实填写。</w:t>
      </w:r>
    </w:p>
    <w:p>
      <w:pPr>
        <w:spacing w:line="480" w:lineRule="exact"/>
        <w:rPr>
          <w:rFonts w:ascii="Times New Roman"/>
          <w:color w:val="000000"/>
          <w:highlight w:val="none"/>
        </w:rPr>
      </w:pPr>
      <w:r>
        <w:rPr>
          <w:rFonts w:ascii="Times New Roman"/>
          <w:color w:val="000000"/>
          <w:highlight w:val="none"/>
        </w:rPr>
        <w:t xml:space="preserve">        </w:t>
      </w: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kinsoku w:val="0"/>
        <w:topLinePunct/>
        <w:snapToGrid w:val="0"/>
        <w:spacing w:line="520" w:lineRule="exact"/>
        <w:ind w:firstLine="480" w:firstLineChars="200"/>
        <w:rPr>
          <w:rFonts w:ascii="Times New Roman"/>
          <w:highlight w:val="none"/>
        </w:rPr>
      </w:pPr>
    </w:p>
    <w:p>
      <w:pPr>
        <w:rPr>
          <w:rFonts w:ascii="Times New Roman"/>
          <w:color w:val="000000"/>
          <w:highlight w:val="none"/>
        </w:rPr>
      </w:pPr>
    </w:p>
    <w:p>
      <w:pPr>
        <w:snapToGrid w:val="0"/>
        <w:spacing w:line="400" w:lineRule="exact"/>
        <w:contextualSpacing/>
        <w:rPr>
          <w:rFonts w:hint="eastAsia" w:ascii="Times New Roman" w:eastAsia="方正黑体_GBK"/>
          <w:sz w:val="32"/>
          <w:szCs w:val="32"/>
          <w:highlight w:val="none"/>
        </w:rPr>
      </w:pPr>
      <w:r>
        <w:rPr>
          <w:rFonts w:ascii="Times New Roman" w:eastAsia="方正黑体_GBK"/>
          <w:sz w:val="32"/>
          <w:szCs w:val="32"/>
          <w:highlight w:val="none"/>
        </w:rPr>
        <w:t>附件</w:t>
      </w:r>
      <w:r>
        <w:rPr>
          <w:rFonts w:hint="eastAsia" w:ascii="Times New Roman" w:eastAsia="方正黑体_GBK"/>
          <w:sz w:val="32"/>
          <w:szCs w:val="32"/>
          <w:highlight w:val="none"/>
        </w:rPr>
        <w:t>8</w:t>
      </w:r>
    </w:p>
    <w:p>
      <w:pPr>
        <w:snapToGrid w:val="0"/>
        <w:spacing w:line="300" w:lineRule="auto"/>
        <w:contextualSpacing/>
        <w:jc w:val="center"/>
        <w:rPr>
          <w:rFonts w:ascii="Times New Roman"/>
          <w:b/>
          <w:sz w:val="32"/>
          <w:szCs w:val="32"/>
          <w:highlight w:val="none"/>
        </w:rPr>
      </w:pPr>
      <w:r>
        <w:rPr>
          <w:rFonts w:ascii="Times New Roman"/>
          <w:b/>
          <w:sz w:val="32"/>
          <w:szCs w:val="32"/>
          <w:highlight w:val="none"/>
        </w:rPr>
        <w:t>现场勘察承诺函</w:t>
      </w:r>
    </w:p>
    <w:p>
      <w:pPr>
        <w:snapToGrid w:val="0"/>
        <w:spacing w:line="520" w:lineRule="exact"/>
        <w:jc w:val="center"/>
        <w:outlineLvl w:val="4"/>
        <w:rPr>
          <w:rFonts w:ascii="Times New Roman"/>
          <w:b/>
          <w:bCs/>
          <w:sz w:val="28"/>
          <w:szCs w:val="28"/>
          <w:highlight w:val="none"/>
        </w:rPr>
      </w:pPr>
    </w:p>
    <w:p>
      <w:pPr>
        <w:snapToGrid w:val="0"/>
        <w:spacing w:line="520" w:lineRule="exact"/>
        <w:jc w:val="left"/>
        <w:outlineLvl w:val="4"/>
        <w:rPr>
          <w:rFonts w:ascii="Times New Roman"/>
          <w:highlight w:val="none"/>
        </w:rPr>
      </w:pPr>
      <w:r>
        <w:rPr>
          <w:rFonts w:ascii="Times New Roman"/>
          <w:highlight w:val="none"/>
          <w:u w:val="single"/>
        </w:rPr>
        <w:t xml:space="preserve">    （采购人）    ：</w:t>
      </w:r>
    </w:p>
    <w:p>
      <w:pPr>
        <w:snapToGrid w:val="0"/>
        <w:spacing w:line="520" w:lineRule="exact"/>
        <w:ind w:firstLine="480" w:firstLineChars="200"/>
        <w:jc w:val="left"/>
        <w:outlineLvl w:val="4"/>
        <w:rPr>
          <w:rFonts w:ascii="Times New Roman"/>
          <w:highlight w:val="none"/>
        </w:rPr>
      </w:pPr>
      <w:r>
        <w:rPr>
          <w:rFonts w:ascii="Times New Roman"/>
          <w:highlight w:val="none"/>
        </w:rPr>
        <w:t>依据贵单位________（招标项目名称、项目编号)项目招标文件的要求。我方已于202</w:t>
      </w:r>
      <w:r>
        <w:rPr>
          <w:rFonts w:ascii="Times New Roman"/>
          <w:highlight w:val="none"/>
          <w:u w:val="single"/>
        </w:rPr>
        <w:t xml:space="preserve">  </w:t>
      </w:r>
      <w:r>
        <w:rPr>
          <w:rFonts w:ascii="Times New Roman"/>
          <w:highlight w:val="none"/>
        </w:rPr>
        <w:t>年__月__日对该项目进行了现场勘察，现就现场勘察情况做如下承诺：</w:t>
      </w:r>
    </w:p>
    <w:p>
      <w:pPr>
        <w:snapToGrid w:val="0"/>
        <w:spacing w:line="520" w:lineRule="exact"/>
        <w:ind w:firstLine="480" w:firstLineChars="200"/>
        <w:jc w:val="left"/>
        <w:outlineLvl w:val="4"/>
        <w:rPr>
          <w:rFonts w:ascii="Times New Roman"/>
          <w:highlight w:val="none"/>
        </w:rPr>
      </w:pPr>
      <w:r>
        <w:rPr>
          <w:rFonts w:ascii="Times New Roman"/>
          <w:highlight w:val="none"/>
        </w:rPr>
        <w:t>1、经现场勘察，我方已熟悉与该项目相关的供货及安装现场、施工环境、现场周围交通道路等所有情况。</w:t>
      </w:r>
    </w:p>
    <w:p>
      <w:pPr>
        <w:snapToGrid w:val="0"/>
        <w:spacing w:line="520" w:lineRule="exact"/>
        <w:ind w:firstLine="480" w:firstLineChars="200"/>
        <w:jc w:val="left"/>
        <w:outlineLvl w:val="4"/>
        <w:rPr>
          <w:rFonts w:ascii="Times New Roman"/>
          <w:highlight w:val="none"/>
        </w:rPr>
      </w:pPr>
      <w:r>
        <w:rPr>
          <w:rFonts w:ascii="Times New Roman"/>
          <w:highlight w:val="none"/>
        </w:rPr>
        <w:t>2、我方承诺自行承担本次现场勘察所发生的所有费用并承担勘察现场的相关责任和风险。</w:t>
      </w:r>
    </w:p>
    <w:p>
      <w:pPr>
        <w:snapToGrid w:val="0"/>
        <w:spacing w:line="520" w:lineRule="exact"/>
        <w:ind w:firstLine="480" w:firstLineChars="200"/>
        <w:jc w:val="left"/>
        <w:outlineLvl w:val="4"/>
        <w:rPr>
          <w:rFonts w:ascii="Times New Roman"/>
          <w:highlight w:val="none"/>
        </w:rPr>
      </w:pPr>
      <w:r>
        <w:rPr>
          <w:rFonts w:ascii="Times New Roman"/>
          <w:highlight w:val="none"/>
        </w:rPr>
        <w:t>3、我方承诺在任何情况下均不以不完全了解现场情况为理由而向采购单位提出任何索赔的要求。</w:t>
      </w:r>
    </w:p>
    <w:p>
      <w:pPr>
        <w:snapToGrid w:val="0"/>
        <w:spacing w:line="520" w:lineRule="exact"/>
        <w:jc w:val="left"/>
        <w:outlineLvl w:val="4"/>
        <w:rPr>
          <w:rFonts w:ascii="Times New Roman"/>
          <w:highlight w:val="none"/>
        </w:rPr>
      </w:pPr>
    </w:p>
    <w:p>
      <w:pPr>
        <w:snapToGrid w:val="0"/>
        <w:spacing w:line="520" w:lineRule="exact"/>
        <w:jc w:val="left"/>
        <w:outlineLvl w:val="4"/>
        <w:rPr>
          <w:rFonts w:ascii="Times New Roman"/>
          <w:highlight w:val="none"/>
        </w:rPr>
      </w:pPr>
    </w:p>
    <w:p>
      <w:pPr>
        <w:snapToGrid w:val="0"/>
        <w:spacing w:line="480" w:lineRule="exact"/>
        <w:jc w:val="center"/>
        <w:outlineLvl w:val="4"/>
        <w:rPr>
          <w:rFonts w:ascii="Times New Roman"/>
          <w:bCs/>
          <w:highlight w:val="none"/>
        </w:rPr>
      </w:pPr>
      <w:r>
        <w:rPr>
          <w:rFonts w:ascii="Times New Roman"/>
          <w:b/>
          <w:bCs/>
          <w:highlight w:val="none"/>
        </w:rPr>
        <w:t xml:space="preserve">                    </w:t>
      </w:r>
      <w:r>
        <w:rPr>
          <w:rFonts w:ascii="Times New Roman"/>
          <w:bCs/>
          <w:highlight w:val="none"/>
        </w:rPr>
        <w:t xml:space="preserve">  投标供应商：（加盖公章）</w:t>
      </w:r>
    </w:p>
    <w:p>
      <w:pPr>
        <w:snapToGrid w:val="0"/>
        <w:spacing w:line="480" w:lineRule="exact"/>
        <w:jc w:val="center"/>
        <w:outlineLvl w:val="4"/>
        <w:rPr>
          <w:rFonts w:ascii="Times New Roman"/>
          <w:bCs/>
          <w:highlight w:val="none"/>
        </w:rPr>
      </w:pPr>
      <w:r>
        <w:rPr>
          <w:rFonts w:ascii="Times New Roman"/>
          <w:bCs/>
          <w:highlight w:val="none"/>
        </w:rPr>
        <w:t xml:space="preserve">                      法定代表人或被授权人：（签字或盖章）</w:t>
      </w:r>
    </w:p>
    <w:p>
      <w:pPr>
        <w:snapToGrid w:val="0"/>
        <w:spacing w:line="480" w:lineRule="exact"/>
        <w:outlineLvl w:val="4"/>
        <w:rPr>
          <w:rFonts w:ascii="Times New Roman"/>
          <w:bCs/>
          <w:highlight w:val="none"/>
        </w:rPr>
      </w:pPr>
      <w:r>
        <w:rPr>
          <w:rFonts w:ascii="Times New Roman"/>
          <w:bCs/>
          <w:highlight w:val="none"/>
        </w:rPr>
        <w:t xml:space="preserve">                                           年  月  日</w:t>
      </w:r>
    </w:p>
    <w:p>
      <w:pPr>
        <w:snapToGrid w:val="0"/>
        <w:spacing w:line="400" w:lineRule="exact"/>
        <w:contextualSpacing/>
        <w:rPr>
          <w:rFonts w:hint="eastAsia" w:ascii="Times New Roman" w:eastAsia="方正黑体_GBK"/>
          <w:sz w:val="32"/>
          <w:szCs w:val="32"/>
          <w:highlight w:val="none"/>
        </w:rPr>
      </w:pPr>
      <w:r>
        <w:rPr>
          <w:rFonts w:ascii="Times New Roman"/>
          <w:b/>
          <w:bCs/>
          <w:highlight w:val="none"/>
        </w:rPr>
        <w:br w:type="page"/>
      </w:r>
      <w:r>
        <w:rPr>
          <w:rFonts w:ascii="Times New Roman" w:eastAsia="方正黑体_GBK"/>
          <w:sz w:val="32"/>
          <w:szCs w:val="32"/>
          <w:highlight w:val="none"/>
        </w:rPr>
        <w:t>附件</w:t>
      </w:r>
      <w:r>
        <w:rPr>
          <w:rFonts w:hint="eastAsia" w:ascii="Times New Roman" w:eastAsia="方正黑体_GBK"/>
          <w:sz w:val="32"/>
          <w:szCs w:val="32"/>
          <w:highlight w:val="none"/>
        </w:rPr>
        <w:t>9</w:t>
      </w:r>
    </w:p>
    <w:p>
      <w:pPr>
        <w:widowControl/>
        <w:spacing w:before="100" w:beforeAutospacing="1" w:after="100" w:afterAutospacing="1" w:line="500" w:lineRule="atLeast"/>
        <w:jc w:val="center"/>
        <w:rPr>
          <w:rFonts w:ascii="Times New Roman"/>
          <w:sz w:val="32"/>
          <w:szCs w:val="32"/>
          <w:highlight w:val="none"/>
        </w:rPr>
      </w:pPr>
      <w:r>
        <w:rPr>
          <w:rFonts w:ascii="Times New Roman"/>
          <w:b/>
          <w:bCs/>
          <w:sz w:val="32"/>
          <w:szCs w:val="32"/>
          <w:highlight w:val="none"/>
        </w:rPr>
        <w:t>开  标 一 览  表</w:t>
      </w:r>
    </w:p>
    <w:p>
      <w:pPr>
        <w:rPr>
          <w:rFonts w:ascii="Times New Roman"/>
          <w:sz w:val="28"/>
          <w:szCs w:val="28"/>
          <w:highlight w:val="none"/>
          <w:u w:val="single"/>
        </w:rPr>
      </w:pPr>
      <w:r>
        <w:rPr>
          <w:rFonts w:ascii="Times New Roman"/>
          <w:sz w:val="28"/>
          <w:szCs w:val="28"/>
          <w:highlight w:val="none"/>
        </w:rPr>
        <w:t>投标人全称（加盖公章）：</w:t>
      </w:r>
    </w:p>
    <w:p>
      <w:pPr>
        <w:rPr>
          <w:rFonts w:ascii="Times New Roman"/>
          <w:sz w:val="28"/>
          <w:szCs w:val="28"/>
          <w:highlight w:val="none"/>
          <w:u w:val="single"/>
        </w:rPr>
      </w:pPr>
      <w:r>
        <w:rPr>
          <w:rFonts w:ascii="Times New Roman"/>
          <w:sz w:val="28"/>
          <w:szCs w:val="28"/>
          <w:highlight w:val="none"/>
        </w:rPr>
        <w:t>项目名称：</w:t>
      </w:r>
    </w:p>
    <w:p>
      <w:pPr>
        <w:rPr>
          <w:rFonts w:ascii="Times New Roman"/>
          <w:sz w:val="28"/>
          <w:szCs w:val="28"/>
          <w:highlight w:val="none"/>
        </w:rPr>
      </w:pPr>
      <w:r>
        <w:rPr>
          <w:rFonts w:ascii="Times New Roman"/>
          <w:sz w:val="28"/>
          <w:szCs w:val="28"/>
          <w:highlight w:val="none"/>
        </w:rPr>
        <w:t>项目编号：</w:t>
      </w:r>
    </w:p>
    <w:p>
      <w:pPr>
        <w:rPr>
          <w:rFonts w:ascii="Times New Roman"/>
          <w:sz w:val="28"/>
          <w:szCs w:val="28"/>
          <w:highlight w:val="none"/>
        </w:rPr>
      </w:pPr>
      <w:r>
        <w:rPr>
          <w:rFonts w:ascii="Times New Roman"/>
          <w:sz w:val="28"/>
          <w:szCs w:val="28"/>
          <w:highlight w:val="none"/>
        </w:rPr>
        <w:t>分包号：</w:t>
      </w:r>
    </w:p>
    <w:tbl>
      <w:tblPr>
        <w:tblStyle w:val="18"/>
        <w:tblW w:w="875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vAlign w:val="top"/>
          </w:tcPr>
          <w:p>
            <w:pPr>
              <w:jc w:val="center"/>
              <w:rPr>
                <w:rFonts w:ascii="Times New Roman" w:eastAsia="等线"/>
                <w:szCs w:val="22"/>
                <w:highlight w:val="none"/>
              </w:rPr>
            </w:pPr>
            <w:r>
              <w:rPr>
                <w:rFonts w:ascii="Times New Roman"/>
                <w:sz w:val="28"/>
                <w:szCs w:val="28"/>
                <w:highlight w:val="none"/>
              </w:rPr>
              <w:t>投标货物、服务名称</w:t>
            </w:r>
          </w:p>
        </w:tc>
        <w:tc>
          <w:tcPr>
            <w:tcW w:w="4607" w:type="dxa"/>
            <w:vAlign w:val="top"/>
          </w:tcPr>
          <w:p>
            <w:pPr>
              <w:jc w:val="center"/>
              <w:rPr>
                <w:rFonts w:ascii="Times New Roman" w:eastAsia="等线"/>
                <w:szCs w:val="22"/>
                <w:highlight w:val="none"/>
              </w:rPr>
            </w:pPr>
            <w:r>
              <w:rPr>
                <w:rFonts w:ascii="Times New Roman"/>
                <w:sz w:val="28"/>
                <w:szCs w:val="28"/>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4148" w:type="dxa"/>
            <w:vAlign w:val="top"/>
          </w:tcPr>
          <w:p>
            <w:pPr>
              <w:rPr>
                <w:rFonts w:ascii="Times New Roman" w:eastAsia="等线"/>
                <w:szCs w:val="22"/>
                <w:highlight w:val="none"/>
              </w:rPr>
            </w:pPr>
          </w:p>
        </w:tc>
        <w:tc>
          <w:tcPr>
            <w:tcW w:w="4607" w:type="dxa"/>
            <w:vAlign w:val="top"/>
          </w:tcPr>
          <w:p>
            <w:pPr>
              <w:rPr>
                <w:rFonts w:ascii="Times New Roman" w:eastAsia="等线"/>
                <w:szCs w:val="22"/>
                <w:highlight w:val="none"/>
                <w:u w:val="single"/>
              </w:rPr>
            </w:pPr>
            <w:r>
              <w:rPr>
                <w:rFonts w:ascii="Times New Roman"/>
                <w:sz w:val="28"/>
                <w:szCs w:val="28"/>
                <w:highlight w:val="none"/>
              </w:rPr>
              <w:t>大写：</w:t>
            </w:r>
            <w:r>
              <w:rPr>
                <w:rFonts w:ascii="Times New Roman"/>
                <w:sz w:val="28"/>
                <w:szCs w:val="28"/>
                <w:highlight w:val="none"/>
              </w:rPr>
              <w:br w:type="textWrapping"/>
            </w:r>
            <w:r>
              <w:rPr>
                <w:rFonts w:ascii="Times New Roman"/>
                <w:sz w:val="28"/>
                <w:szCs w:val="28"/>
                <w:highlight w:val="none"/>
              </w:rPr>
              <w:t>小写：元（人民币）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vAlign w:val="top"/>
          </w:tcPr>
          <w:p>
            <w:pPr>
              <w:rPr>
                <w:rFonts w:ascii="Times New Roman" w:eastAsia="等线"/>
                <w:szCs w:val="22"/>
                <w:highlight w:val="none"/>
              </w:rPr>
            </w:pPr>
            <w:r>
              <w:rPr>
                <w:rFonts w:ascii="Times New Roman"/>
                <w:sz w:val="28"/>
                <w:szCs w:val="28"/>
                <w:highlight w:val="none"/>
              </w:rPr>
              <w:t>主要货物、服务制造商及产地</w:t>
            </w:r>
          </w:p>
        </w:tc>
        <w:tc>
          <w:tcPr>
            <w:tcW w:w="4607" w:type="dxa"/>
            <w:vAlign w:val="top"/>
          </w:tcPr>
          <w:p>
            <w:pPr>
              <w:rPr>
                <w:rFonts w:ascii="Times New Roman" w:eastAsia="等线"/>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4148" w:type="dxa"/>
            <w:vAlign w:val="top"/>
          </w:tcPr>
          <w:p>
            <w:pPr>
              <w:rPr>
                <w:rFonts w:ascii="Times New Roman" w:eastAsia="等线"/>
                <w:szCs w:val="22"/>
                <w:highlight w:val="none"/>
              </w:rPr>
            </w:pPr>
          </w:p>
        </w:tc>
        <w:tc>
          <w:tcPr>
            <w:tcW w:w="4607" w:type="dxa"/>
            <w:vAlign w:val="top"/>
          </w:tcPr>
          <w:p>
            <w:pPr>
              <w:rPr>
                <w:rFonts w:ascii="Times New Roman" w:eastAsia="等线"/>
                <w:szCs w:val="22"/>
                <w:highlight w:val="none"/>
              </w:rPr>
            </w:pPr>
          </w:p>
        </w:tc>
      </w:tr>
    </w:tbl>
    <w:p>
      <w:pPr>
        <w:rPr>
          <w:rFonts w:ascii="Times New Roman"/>
          <w:sz w:val="28"/>
          <w:szCs w:val="28"/>
          <w:highlight w:val="none"/>
        </w:rPr>
      </w:pPr>
      <w:r>
        <w:rPr>
          <w:rFonts w:ascii="Times New Roman"/>
          <w:sz w:val="28"/>
          <w:szCs w:val="28"/>
          <w:highlight w:val="none"/>
        </w:rPr>
        <w:t>日期：</w:t>
      </w:r>
    </w:p>
    <w:p>
      <w:pPr>
        <w:rPr>
          <w:rFonts w:ascii="Times New Roman"/>
          <w:sz w:val="28"/>
          <w:szCs w:val="28"/>
          <w:highlight w:val="none"/>
        </w:rPr>
      </w:pPr>
      <w:r>
        <w:rPr>
          <w:rFonts w:ascii="Times New Roman"/>
          <w:sz w:val="28"/>
          <w:szCs w:val="28"/>
          <w:highlight w:val="none"/>
        </w:rPr>
        <w:t>填写说明：</w:t>
      </w:r>
    </w:p>
    <w:p>
      <w:pPr>
        <w:rPr>
          <w:rFonts w:ascii="Times New Roman"/>
          <w:sz w:val="28"/>
          <w:szCs w:val="28"/>
          <w:highlight w:val="none"/>
        </w:rPr>
      </w:pPr>
      <w:r>
        <w:rPr>
          <w:rFonts w:ascii="Times New Roman"/>
          <w:sz w:val="28"/>
          <w:szCs w:val="28"/>
          <w:highlight w:val="none"/>
        </w:rPr>
        <w:t>1、开标一览表必须加盖投标单位公章（复印件无效）。</w:t>
      </w:r>
    </w:p>
    <w:p>
      <w:pPr>
        <w:rPr>
          <w:rFonts w:ascii="Times New Roman"/>
          <w:sz w:val="28"/>
          <w:szCs w:val="28"/>
          <w:highlight w:val="none"/>
        </w:rPr>
      </w:pPr>
      <w:r>
        <w:rPr>
          <w:rFonts w:ascii="Times New Roman"/>
          <w:sz w:val="28"/>
          <w:szCs w:val="28"/>
          <w:highlight w:val="none"/>
        </w:rPr>
        <w:t>2、如有分包，投标人投任何一个包的标的，都需单独填写开标一览表。</w:t>
      </w: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ind w:firstLine="540" w:firstLineChars="192"/>
        <w:contextualSpacing/>
        <w:rPr>
          <w:rFonts w:ascii="Times New Roman"/>
          <w:b/>
          <w:sz w:val="28"/>
          <w:szCs w:val="28"/>
          <w:highlight w:val="none"/>
        </w:rPr>
      </w:pPr>
    </w:p>
    <w:p>
      <w:pPr>
        <w:snapToGrid w:val="0"/>
        <w:spacing w:line="400" w:lineRule="exact"/>
        <w:contextualSpacing/>
        <w:rPr>
          <w:rFonts w:ascii="Times New Roman"/>
          <w:b/>
          <w:sz w:val="28"/>
          <w:szCs w:val="28"/>
          <w:highlight w:val="none"/>
        </w:rPr>
      </w:pPr>
    </w:p>
    <w:p>
      <w:pPr>
        <w:snapToGrid w:val="0"/>
        <w:spacing w:line="400" w:lineRule="exact"/>
        <w:contextualSpacing/>
        <w:rPr>
          <w:rFonts w:ascii="Times New Roman" w:eastAsia="方正黑体_GBK"/>
          <w:sz w:val="32"/>
          <w:szCs w:val="32"/>
          <w:highlight w:val="none"/>
        </w:rPr>
      </w:pPr>
    </w:p>
    <w:p>
      <w:pPr>
        <w:snapToGrid w:val="0"/>
        <w:spacing w:line="400" w:lineRule="exact"/>
        <w:contextualSpacing/>
        <w:rPr>
          <w:rFonts w:hint="eastAsia" w:ascii="Times New Roman" w:eastAsia="方正黑体_GBK"/>
          <w:sz w:val="28"/>
          <w:szCs w:val="28"/>
          <w:highlight w:val="none"/>
        </w:rPr>
      </w:pPr>
      <w:r>
        <w:rPr>
          <w:rFonts w:ascii="Times New Roman" w:eastAsia="方正黑体_GBK"/>
          <w:sz w:val="32"/>
          <w:szCs w:val="32"/>
          <w:highlight w:val="none"/>
        </w:rPr>
        <w:t>附件1</w:t>
      </w:r>
      <w:r>
        <w:rPr>
          <w:rFonts w:hint="eastAsia" w:ascii="Times New Roman" w:eastAsia="方正黑体_GBK"/>
          <w:sz w:val="32"/>
          <w:szCs w:val="32"/>
          <w:highlight w:val="none"/>
        </w:rPr>
        <w:t>0</w:t>
      </w:r>
    </w:p>
    <w:p>
      <w:pPr>
        <w:spacing w:line="400" w:lineRule="exact"/>
        <w:jc w:val="center"/>
        <w:rPr>
          <w:rFonts w:ascii="Calibri" w:hAnsi="Calibri"/>
          <w:sz w:val="32"/>
          <w:szCs w:val="32"/>
          <w:highlight w:val="none"/>
        </w:rPr>
      </w:pPr>
      <w:r>
        <w:rPr>
          <w:rFonts w:hint="eastAsia" w:ascii="Calibri" w:hAnsi="Calibri"/>
          <w:b/>
          <w:bCs/>
          <w:sz w:val="32"/>
          <w:szCs w:val="32"/>
          <w:highlight w:val="none"/>
        </w:rPr>
        <w:t>分项报价明细表（货物类）</w:t>
      </w:r>
    </w:p>
    <w:p>
      <w:pPr>
        <w:snapToGrid w:val="0"/>
        <w:spacing w:line="400" w:lineRule="exact"/>
        <w:rPr>
          <w:rFonts w:ascii="仿宋_GB2312" w:hAnsi="宋体" w:eastAsia="仿宋_GB2312"/>
          <w:sz w:val="28"/>
          <w:szCs w:val="28"/>
          <w:highlight w:val="none"/>
        </w:rPr>
      </w:pPr>
      <w:r>
        <w:rPr>
          <w:rFonts w:ascii="Times New Roman" w:eastAsia="仿宋_GB2312"/>
          <w:sz w:val="28"/>
          <w:szCs w:val="28"/>
          <w:highlight w:val="none"/>
        </w:rPr>
        <w:t>投标人</w:t>
      </w:r>
      <w:r>
        <w:rPr>
          <w:rFonts w:hint="eastAsia" w:ascii="仿宋_GB2312" w:hAnsi="宋体" w:eastAsia="仿宋_GB2312"/>
          <w:sz w:val="28"/>
          <w:szCs w:val="28"/>
          <w:highlight w:val="none"/>
        </w:rPr>
        <w:t>（盖章）：</w:t>
      </w:r>
    </w:p>
    <w:tbl>
      <w:tblPr>
        <w:tblStyle w:val="18"/>
        <w:tblW w:w="98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037" w:type="dxa"/>
            <w:vAlign w:val="center"/>
          </w:tcPr>
          <w:p>
            <w:pPr>
              <w:snapToGrid w:val="0"/>
              <w:spacing w:line="360" w:lineRule="auto"/>
              <w:jc w:val="center"/>
              <w:rPr>
                <w:rFonts w:hAnsi="宋体"/>
                <w:b/>
                <w:szCs w:val="21"/>
                <w:highlight w:val="none"/>
              </w:rPr>
            </w:pPr>
            <w:r>
              <w:rPr>
                <w:rFonts w:hint="eastAsia" w:hAnsi="宋体"/>
                <w:b/>
                <w:szCs w:val="21"/>
                <w:highlight w:val="none"/>
              </w:rPr>
              <w:t>序号</w:t>
            </w:r>
          </w:p>
        </w:tc>
        <w:tc>
          <w:tcPr>
            <w:tcW w:w="1340" w:type="dxa"/>
            <w:vAlign w:val="center"/>
          </w:tcPr>
          <w:p>
            <w:pPr>
              <w:snapToGrid w:val="0"/>
              <w:spacing w:line="360" w:lineRule="auto"/>
              <w:jc w:val="center"/>
              <w:rPr>
                <w:rFonts w:hAnsi="宋体"/>
                <w:b/>
                <w:szCs w:val="21"/>
                <w:highlight w:val="none"/>
              </w:rPr>
            </w:pPr>
            <w:r>
              <w:rPr>
                <w:rFonts w:hint="eastAsia" w:hAnsi="宋体"/>
                <w:b/>
                <w:szCs w:val="21"/>
                <w:highlight w:val="none"/>
              </w:rPr>
              <w:t>名称</w:t>
            </w:r>
          </w:p>
        </w:tc>
        <w:tc>
          <w:tcPr>
            <w:tcW w:w="1211" w:type="dxa"/>
            <w:vAlign w:val="center"/>
          </w:tcPr>
          <w:p>
            <w:pPr>
              <w:snapToGrid w:val="0"/>
              <w:spacing w:line="360" w:lineRule="auto"/>
              <w:jc w:val="center"/>
              <w:rPr>
                <w:rFonts w:hAnsi="宋体"/>
                <w:b/>
                <w:szCs w:val="21"/>
                <w:highlight w:val="none"/>
              </w:rPr>
            </w:pPr>
            <w:r>
              <w:rPr>
                <w:rFonts w:hint="eastAsia" w:hAnsi="宋体"/>
                <w:b/>
                <w:szCs w:val="21"/>
                <w:highlight w:val="none"/>
              </w:rPr>
              <w:t>规格型号</w:t>
            </w:r>
          </w:p>
        </w:tc>
        <w:tc>
          <w:tcPr>
            <w:tcW w:w="1276" w:type="dxa"/>
            <w:vAlign w:val="center"/>
          </w:tcPr>
          <w:p>
            <w:pPr>
              <w:snapToGrid w:val="0"/>
              <w:spacing w:line="360" w:lineRule="auto"/>
              <w:jc w:val="center"/>
              <w:rPr>
                <w:rFonts w:hAnsi="宋体"/>
                <w:b/>
                <w:szCs w:val="21"/>
                <w:highlight w:val="none"/>
              </w:rPr>
            </w:pPr>
            <w:r>
              <w:rPr>
                <w:rFonts w:hint="eastAsia" w:hAnsi="宋体"/>
                <w:b/>
                <w:szCs w:val="21"/>
                <w:highlight w:val="none"/>
              </w:rPr>
              <w:t>品牌</w:t>
            </w:r>
          </w:p>
        </w:tc>
        <w:tc>
          <w:tcPr>
            <w:tcW w:w="992" w:type="dxa"/>
            <w:vAlign w:val="center"/>
          </w:tcPr>
          <w:p>
            <w:pPr>
              <w:snapToGrid w:val="0"/>
              <w:spacing w:line="360" w:lineRule="auto"/>
              <w:jc w:val="center"/>
              <w:rPr>
                <w:rFonts w:hAnsi="宋体"/>
                <w:b/>
                <w:szCs w:val="21"/>
                <w:highlight w:val="none"/>
              </w:rPr>
            </w:pPr>
            <w:r>
              <w:rPr>
                <w:rFonts w:hint="eastAsia" w:hAnsi="宋体"/>
                <w:b/>
                <w:szCs w:val="21"/>
                <w:highlight w:val="none"/>
              </w:rPr>
              <w:t>单位</w:t>
            </w:r>
          </w:p>
        </w:tc>
        <w:tc>
          <w:tcPr>
            <w:tcW w:w="851" w:type="dxa"/>
            <w:vAlign w:val="center"/>
          </w:tcPr>
          <w:p>
            <w:pPr>
              <w:snapToGrid w:val="0"/>
              <w:spacing w:line="360" w:lineRule="auto"/>
              <w:jc w:val="center"/>
              <w:rPr>
                <w:rFonts w:hAnsi="宋体"/>
                <w:b/>
                <w:szCs w:val="21"/>
                <w:highlight w:val="none"/>
              </w:rPr>
            </w:pPr>
            <w:r>
              <w:rPr>
                <w:rFonts w:hint="eastAsia" w:hAnsi="宋体"/>
                <w:b/>
                <w:szCs w:val="21"/>
                <w:highlight w:val="none"/>
              </w:rPr>
              <w:t>数量</w:t>
            </w:r>
          </w:p>
        </w:tc>
        <w:tc>
          <w:tcPr>
            <w:tcW w:w="850" w:type="dxa"/>
            <w:vAlign w:val="center"/>
          </w:tcPr>
          <w:p>
            <w:pPr>
              <w:snapToGrid w:val="0"/>
              <w:spacing w:line="360" w:lineRule="auto"/>
              <w:jc w:val="center"/>
              <w:rPr>
                <w:rFonts w:hAnsi="宋体"/>
                <w:b/>
                <w:szCs w:val="21"/>
                <w:highlight w:val="none"/>
              </w:rPr>
            </w:pPr>
            <w:r>
              <w:rPr>
                <w:rFonts w:hint="eastAsia" w:hAnsi="宋体"/>
                <w:b/>
                <w:szCs w:val="21"/>
                <w:highlight w:val="none"/>
              </w:rPr>
              <w:t>单价</w:t>
            </w:r>
          </w:p>
        </w:tc>
        <w:tc>
          <w:tcPr>
            <w:tcW w:w="851" w:type="dxa"/>
            <w:vAlign w:val="center"/>
          </w:tcPr>
          <w:p>
            <w:pPr>
              <w:snapToGrid w:val="0"/>
              <w:spacing w:line="360" w:lineRule="auto"/>
              <w:jc w:val="center"/>
              <w:rPr>
                <w:rFonts w:hAnsi="宋体"/>
                <w:b/>
                <w:szCs w:val="21"/>
                <w:highlight w:val="none"/>
              </w:rPr>
            </w:pPr>
            <w:r>
              <w:rPr>
                <w:rFonts w:hint="eastAsia" w:hAnsi="宋体"/>
                <w:b/>
                <w:szCs w:val="21"/>
                <w:highlight w:val="none"/>
              </w:rPr>
              <w:t>金额</w:t>
            </w:r>
          </w:p>
        </w:tc>
        <w:tc>
          <w:tcPr>
            <w:tcW w:w="1403" w:type="dxa"/>
            <w:vAlign w:val="center"/>
          </w:tcPr>
          <w:p>
            <w:pPr>
              <w:snapToGrid w:val="0"/>
              <w:spacing w:line="360" w:lineRule="auto"/>
              <w:ind w:firstLine="120" w:firstLineChars="50"/>
              <w:jc w:val="center"/>
              <w:rPr>
                <w:rFonts w:hAnsi="宋体"/>
                <w:b/>
                <w:szCs w:val="21"/>
                <w:highlight w:val="none"/>
              </w:rPr>
            </w:pPr>
            <w:r>
              <w:rPr>
                <w:rFonts w:hint="eastAsia"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jc w:val="center"/>
        </w:trPr>
        <w:tc>
          <w:tcPr>
            <w:tcW w:w="1037" w:type="dxa"/>
            <w:vAlign w:val="center"/>
          </w:tcPr>
          <w:p>
            <w:pPr>
              <w:snapToGrid w:val="0"/>
              <w:spacing w:line="360" w:lineRule="auto"/>
              <w:jc w:val="center"/>
              <w:rPr>
                <w:rFonts w:ascii="仿宋_GB2312" w:hAnsi="宋体" w:eastAsia="仿宋_GB2312"/>
                <w:highlight w:val="none"/>
              </w:rPr>
            </w:pPr>
            <w:r>
              <w:rPr>
                <w:rFonts w:hint="eastAsia" w:ascii="仿宋_GB2312" w:hAnsi="宋体" w:eastAsia="仿宋_GB2312"/>
                <w:highlight w:val="none"/>
              </w:rPr>
              <w:t>1</w:t>
            </w:r>
          </w:p>
        </w:tc>
        <w:tc>
          <w:tcPr>
            <w:tcW w:w="1340" w:type="dxa"/>
            <w:vAlign w:val="center"/>
          </w:tcPr>
          <w:p>
            <w:pPr>
              <w:snapToGrid w:val="0"/>
              <w:spacing w:line="360" w:lineRule="auto"/>
              <w:jc w:val="center"/>
              <w:rPr>
                <w:rFonts w:ascii="仿宋_GB2312" w:hAnsi="宋体" w:eastAsia="仿宋_GB2312"/>
                <w:highlight w:val="none"/>
              </w:rPr>
            </w:pPr>
          </w:p>
        </w:tc>
        <w:tc>
          <w:tcPr>
            <w:tcW w:w="1211" w:type="dxa"/>
            <w:vAlign w:val="center"/>
          </w:tcPr>
          <w:p>
            <w:pPr>
              <w:snapToGrid w:val="0"/>
              <w:spacing w:line="360" w:lineRule="auto"/>
              <w:jc w:val="center"/>
              <w:rPr>
                <w:rFonts w:ascii="仿宋_GB2312" w:hAnsi="宋体" w:eastAsia="仿宋_GB2312"/>
                <w:highlight w:val="none"/>
              </w:rPr>
            </w:pPr>
          </w:p>
        </w:tc>
        <w:tc>
          <w:tcPr>
            <w:tcW w:w="1276" w:type="dxa"/>
            <w:vAlign w:val="center"/>
          </w:tcPr>
          <w:p>
            <w:pPr>
              <w:snapToGrid w:val="0"/>
              <w:spacing w:line="360" w:lineRule="auto"/>
              <w:jc w:val="center"/>
              <w:rPr>
                <w:rFonts w:ascii="仿宋_GB2312" w:hAnsi="宋体" w:eastAsia="仿宋_GB2312"/>
                <w:highlight w:val="none"/>
              </w:rPr>
            </w:pPr>
          </w:p>
        </w:tc>
        <w:tc>
          <w:tcPr>
            <w:tcW w:w="992"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850"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1403" w:type="dxa"/>
            <w:vAlign w:val="center"/>
          </w:tcPr>
          <w:p>
            <w:pPr>
              <w:snapToGrid w:val="0"/>
              <w:spacing w:line="360" w:lineRule="auto"/>
              <w:jc w:val="center"/>
              <w:rPr>
                <w:rFonts w:ascii="仿宋_GB2312" w:hAnsi="宋体"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037" w:type="dxa"/>
            <w:vAlign w:val="center"/>
          </w:tcPr>
          <w:p>
            <w:pPr>
              <w:snapToGrid w:val="0"/>
              <w:spacing w:line="360" w:lineRule="auto"/>
              <w:jc w:val="center"/>
              <w:rPr>
                <w:rFonts w:ascii="仿宋_GB2312" w:hAnsi="宋体" w:eastAsia="仿宋_GB2312"/>
                <w:highlight w:val="none"/>
              </w:rPr>
            </w:pPr>
            <w:r>
              <w:rPr>
                <w:rFonts w:hint="eastAsia" w:ascii="仿宋_GB2312" w:hAnsi="宋体" w:eastAsia="仿宋_GB2312"/>
                <w:highlight w:val="none"/>
              </w:rPr>
              <w:t>2</w:t>
            </w:r>
          </w:p>
        </w:tc>
        <w:tc>
          <w:tcPr>
            <w:tcW w:w="1340" w:type="dxa"/>
            <w:vAlign w:val="center"/>
          </w:tcPr>
          <w:p>
            <w:pPr>
              <w:snapToGrid w:val="0"/>
              <w:spacing w:line="360" w:lineRule="auto"/>
              <w:jc w:val="center"/>
              <w:rPr>
                <w:rFonts w:ascii="仿宋_GB2312" w:hAnsi="宋体" w:eastAsia="仿宋_GB2312"/>
                <w:highlight w:val="none"/>
              </w:rPr>
            </w:pPr>
          </w:p>
        </w:tc>
        <w:tc>
          <w:tcPr>
            <w:tcW w:w="1211" w:type="dxa"/>
            <w:vAlign w:val="center"/>
          </w:tcPr>
          <w:p>
            <w:pPr>
              <w:snapToGrid w:val="0"/>
              <w:spacing w:line="360" w:lineRule="auto"/>
              <w:jc w:val="center"/>
              <w:rPr>
                <w:rFonts w:ascii="仿宋_GB2312" w:hAnsi="宋体" w:eastAsia="仿宋_GB2312"/>
                <w:highlight w:val="none"/>
              </w:rPr>
            </w:pPr>
          </w:p>
        </w:tc>
        <w:tc>
          <w:tcPr>
            <w:tcW w:w="1276" w:type="dxa"/>
            <w:vAlign w:val="center"/>
          </w:tcPr>
          <w:p>
            <w:pPr>
              <w:snapToGrid w:val="0"/>
              <w:spacing w:line="360" w:lineRule="auto"/>
              <w:jc w:val="center"/>
              <w:rPr>
                <w:rFonts w:ascii="仿宋_GB2312" w:hAnsi="宋体" w:eastAsia="仿宋_GB2312"/>
                <w:highlight w:val="none"/>
              </w:rPr>
            </w:pPr>
          </w:p>
        </w:tc>
        <w:tc>
          <w:tcPr>
            <w:tcW w:w="992"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850"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1403" w:type="dxa"/>
            <w:vAlign w:val="center"/>
          </w:tcPr>
          <w:p>
            <w:pPr>
              <w:snapToGrid w:val="0"/>
              <w:spacing w:line="360" w:lineRule="auto"/>
              <w:jc w:val="center"/>
              <w:rPr>
                <w:rFonts w:ascii="仿宋_GB2312" w:hAnsi="宋体"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ascii="仿宋_GB2312" w:hAnsi="宋体" w:eastAsia="仿宋_GB2312"/>
                <w:highlight w:val="none"/>
              </w:rPr>
            </w:pPr>
            <w:r>
              <w:rPr>
                <w:rFonts w:hint="eastAsia" w:ascii="仿宋_GB2312" w:hAnsi="宋体" w:eastAsia="仿宋_GB2312"/>
                <w:highlight w:val="none"/>
              </w:rPr>
              <w:t>3</w:t>
            </w:r>
          </w:p>
        </w:tc>
        <w:tc>
          <w:tcPr>
            <w:tcW w:w="1340" w:type="dxa"/>
            <w:vAlign w:val="center"/>
          </w:tcPr>
          <w:p>
            <w:pPr>
              <w:snapToGrid w:val="0"/>
              <w:spacing w:line="360" w:lineRule="auto"/>
              <w:jc w:val="center"/>
              <w:rPr>
                <w:rFonts w:ascii="仿宋_GB2312" w:hAnsi="宋体" w:eastAsia="仿宋_GB2312"/>
                <w:highlight w:val="none"/>
              </w:rPr>
            </w:pPr>
          </w:p>
        </w:tc>
        <w:tc>
          <w:tcPr>
            <w:tcW w:w="1211" w:type="dxa"/>
            <w:vAlign w:val="center"/>
          </w:tcPr>
          <w:p>
            <w:pPr>
              <w:snapToGrid w:val="0"/>
              <w:spacing w:line="360" w:lineRule="auto"/>
              <w:jc w:val="center"/>
              <w:rPr>
                <w:rFonts w:ascii="仿宋_GB2312" w:hAnsi="宋体" w:eastAsia="仿宋_GB2312"/>
                <w:highlight w:val="none"/>
              </w:rPr>
            </w:pPr>
          </w:p>
        </w:tc>
        <w:tc>
          <w:tcPr>
            <w:tcW w:w="1276" w:type="dxa"/>
            <w:vAlign w:val="center"/>
          </w:tcPr>
          <w:p>
            <w:pPr>
              <w:snapToGrid w:val="0"/>
              <w:spacing w:line="360" w:lineRule="auto"/>
              <w:jc w:val="center"/>
              <w:rPr>
                <w:rFonts w:ascii="仿宋_GB2312" w:hAnsi="宋体" w:eastAsia="仿宋_GB2312"/>
                <w:highlight w:val="none"/>
              </w:rPr>
            </w:pPr>
          </w:p>
        </w:tc>
        <w:tc>
          <w:tcPr>
            <w:tcW w:w="992"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850"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1403" w:type="dxa"/>
            <w:vAlign w:val="center"/>
          </w:tcPr>
          <w:p>
            <w:pPr>
              <w:snapToGrid w:val="0"/>
              <w:spacing w:line="360" w:lineRule="auto"/>
              <w:jc w:val="center"/>
              <w:rPr>
                <w:rFonts w:ascii="仿宋_GB2312" w:hAnsi="宋体"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ascii="仿宋_GB2312" w:hAnsi="宋体" w:eastAsia="仿宋_GB2312"/>
                <w:highlight w:val="none"/>
              </w:rPr>
            </w:pPr>
            <w:r>
              <w:rPr>
                <w:rFonts w:hint="eastAsia" w:ascii="仿宋_GB2312" w:hAnsi="宋体" w:eastAsia="仿宋_GB2312"/>
                <w:highlight w:val="none"/>
              </w:rPr>
              <w:t>4</w:t>
            </w:r>
          </w:p>
        </w:tc>
        <w:tc>
          <w:tcPr>
            <w:tcW w:w="1340" w:type="dxa"/>
            <w:vAlign w:val="center"/>
          </w:tcPr>
          <w:p>
            <w:pPr>
              <w:snapToGrid w:val="0"/>
              <w:spacing w:line="360" w:lineRule="auto"/>
              <w:jc w:val="center"/>
              <w:rPr>
                <w:rFonts w:ascii="仿宋_GB2312" w:hAnsi="宋体" w:eastAsia="仿宋_GB2312"/>
                <w:highlight w:val="none"/>
              </w:rPr>
            </w:pPr>
          </w:p>
        </w:tc>
        <w:tc>
          <w:tcPr>
            <w:tcW w:w="1211" w:type="dxa"/>
            <w:vAlign w:val="center"/>
          </w:tcPr>
          <w:p>
            <w:pPr>
              <w:snapToGrid w:val="0"/>
              <w:spacing w:line="360" w:lineRule="auto"/>
              <w:jc w:val="center"/>
              <w:rPr>
                <w:rFonts w:ascii="仿宋_GB2312" w:hAnsi="宋体" w:eastAsia="仿宋_GB2312"/>
                <w:highlight w:val="none"/>
              </w:rPr>
            </w:pPr>
          </w:p>
        </w:tc>
        <w:tc>
          <w:tcPr>
            <w:tcW w:w="1276" w:type="dxa"/>
            <w:vAlign w:val="center"/>
          </w:tcPr>
          <w:p>
            <w:pPr>
              <w:snapToGrid w:val="0"/>
              <w:spacing w:line="360" w:lineRule="auto"/>
              <w:jc w:val="center"/>
              <w:rPr>
                <w:rFonts w:ascii="仿宋_GB2312" w:hAnsi="宋体" w:eastAsia="仿宋_GB2312"/>
                <w:highlight w:val="none"/>
              </w:rPr>
            </w:pPr>
          </w:p>
        </w:tc>
        <w:tc>
          <w:tcPr>
            <w:tcW w:w="992"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850"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1403" w:type="dxa"/>
            <w:vAlign w:val="center"/>
          </w:tcPr>
          <w:p>
            <w:pPr>
              <w:snapToGrid w:val="0"/>
              <w:spacing w:line="360" w:lineRule="auto"/>
              <w:jc w:val="center"/>
              <w:rPr>
                <w:rFonts w:ascii="仿宋_GB2312" w:hAnsi="宋体"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ascii="仿宋_GB2312" w:hAnsi="宋体" w:eastAsia="仿宋_GB2312"/>
                <w:highlight w:val="none"/>
              </w:rPr>
            </w:pPr>
          </w:p>
        </w:tc>
        <w:tc>
          <w:tcPr>
            <w:tcW w:w="1340" w:type="dxa"/>
            <w:vAlign w:val="center"/>
          </w:tcPr>
          <w:p>
            <w:pPr>
              <w:snapToGrid w:val="0"/>
              <w:spacing w:line="360" w:lineRule="auto"/>
              <w:jc w:val="center"/>
              <w:rPr>
                <w:rFonts w:ascii="仿宋_GB2312" w:hAnsi="宋体" w:eastAsia="仿宋_GB2312"/>
                <w:highlight w:val="none"/>
              </w:rPr>
            </w:pPr>
          </w:p>
        </w:tc>
        <w:tc>
          <w:tcPr>
            <w:tcW w:w="1211" w:type="dxa"/>
            <w:vAlign w:val="center"/>
          </w:tcPr>
          <w:p>
            <w:pPr>
              <w:snapToGrid w:val="0"/>
              <w:spacing w:line="360" w:lineRule="auto"/>
              <w:jc w:val="center"/>
              <w:rPr>
                <w:rFonts w:ascii="仿宋_GB2312" w:hAnsi="宋体" w:eastAsia="仿宋_GB2312"/>
                <w:highlight w:val="none"/>
              </w:rPr>
            </w:pPr>
          </w:p>
        </w:tc>
        <w:tc>
          <w:tcPr>
            <w:tcW w:w="1276" w:type="dxa"/>
            <w:vAlign w:val="center"/>
          </w:tcPr>
          <w:p>
            <w:pPr>
              <w:snapToGrid w:val="0"/>
              <w:spacing w:line="360" w:lineRule="auto"/>
              <w:jc w:val="center"/>
              <w:rPr>
                <w:rFonts w:ascii="仿宋_GB2312" w:hAnsi="宋体" w:eastAsia="仿宋_GB2312"/>
                <w:highlight w:val="none"/>
              </w:rPr>
            </w:pPr>
          </w:p>
        </w:tc>
        <w:tc>
          <w:tcPr>
            <w:tcW w:w="992"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850" w:type="dxa"/>
            <w:vAlign w:val="center"/>
          </w:tcPr>
          <w:p>
            <w:pPr>
              <w:snapToGrid w:val="0"/>
              <w:spacing w:line="360" w:lineRule="auto"/>
              <w:jc w:val="center"/>
              <w:rPr>
                <w:rFonts w:ascii="仿宋_GB2312" w:hAnsi="宋体" w:eastAsia="仿宋_GB2312"/>
                <w:highlight w:val="none"/>
              </w:rPr>
            </w:pPr>
          </w:p>
        </w:tc>
        <w:tc>
          <w:tcPr>
            <w:tcW w:w="851" w:type="dxa"/>
            <w:vAlign w:val="center"/>
          </w:tcPr>
          <w:p>
            <w:pPr>
              <w:snapToGrid w:val="0"/>
              <w:spacing w:line="360" w:lineRule="auto"/>
              <w:jc w:val="center"/>
              <w:rPr>
                <w:rFonts w:ascii="仿宋_GB2312" w:hAnsi="宋体" w:eastAsia="仿宋_GB2312"/>
                <w:highlight w:val="none"/>
              </w:rPr>
            </w:pPr>
          </w:p>
        </w:tc>
        <w:tc>
          <w:tcPr>
            <w:tcW w:w="1403" w:type="dxa"/>
            <w:vAlign w:val="center"/>
          </w:tcPr>
          <w:p>
            <w:pPr>
              <w:snapToGrid w:val="0"/>
              <w:spacing w:line="360" w:lineRule="auto"/>
              <w:jc w:val="center"/>
              <w:rPr>
                <w:rFonts w:ascii="仿宋_GB2312" w:hAnsi="宋体"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1037" w:type="dxa"/>
            <w:vAlign w:val="center"/>
          </w:tcPr>
          <w:p>
            <w:pPr>
              <w:snapToGrid w:val="0"/>
              <w:spacing w:line="360" w:lineRule="auto"/>
              <w:jc w:val="center"/>
              <w:rPr>
                <w:rFonts w:ascii="仿宋_GB2312" w:hAnsi="宋体" w:eastAsia="仿宋_GB2312"/>
                <w:highlight w:val="none"/>
              </w:rPr>
            </w:pPr>
            <w:r>
              <w:rPr>
                <w:rFonts w:hint="eastAsia" w:ascii="仿宋_GB2312" w:hAnsi="宋体" w:eastAsia="仿宋_GB2312"/>
                <w:highlight w:val="none"/>
              </w:rPr>
              <w:t>合计</w:t>
            </w:r>
          </w:p>
        </w:tc>
        <w:tc>
          <w:tcPr>
            <w:tcW w:w="8774" w:type="dxa"/>
            <w:gridSpan w:val="8"/>
            <w:vAlign w:val="center"/>
          </w:tcPr>
          <w:p>
            <w:pPr>
              <w:snapToGrid w:val="0"/>
              <w:spacing w:line="360" w:lineRule="auto"/>
              <w:jc w:val="center"/>
              <w:rPr>
                <w:rFonts w:ascii="仿宋_GB2312" w:hAnsi="宋体" w:eastAsia="仿宋_GB2312"/>
                <w:highlight w:val="none"/>
              </w:rPr>
            </w:pPr>
          </w:p>
        </w:tc>
      </w:tr>
    </w:tbl>
    <w:p>
      <w:pPr>
        <w:spacing w:line="400" w:lineRule="exact"/>
        <w:jc w:val="center"/>
        <w:rPr>
          <w:rFonts w:ascii="Times New Roman"/>
          <w:b/>
          <w:bCs/>
          <w:sz w:val="32"/>
          <w:szCs w:val="32"/>
          <w:highlight w:val="none"/>
        </w:rPr>
      </w:pPr>
      <w:r>
        <w:rPr>
          <w:rFonts w:ascii="Times New Roman"/>
          <w:b/>
          <w:bCs/>
          <w:sz w:val="32"/>
          <w:szCs w:val="32"/>
          <w:highlight w:val="none"/>
        </w:rPr>
        <w:t>分项报价明细表（服务类）</w:t>
      </w:r>
    </w:p>
    <w:p>
      <w:pPr>
        <w:snapToGrid w:val="0"/>
        <w:spacing w:line="400" w:lineRule="exact"/>
        <w:rPr>
          <w:rFonts w:ascii="Times New Roman" w:eastAsia="仿宋_GB2312"/>
          <w:color w:val="000000"/>
          <w:sz w:val="28"/>
          <w:szCs w:val="28"/>
          <w:highlight w:val="none"/>
        </w:rPr>
      </w:pPr>
      <w:r>
        <w:rPr>
          <w:rFonts w:ascii="Times New Roman" w:eastAsia="仿宋_GB2312"/>
          <w:sz w:val="28"/>
          <w:szCs w:val="28"/>
          <w:highlight w:val="none"/>
        </w:rPr>
        <w:t>投标人（盖章）：</w:t>
      </w:r>
    </w:p>
    <w:tbl>
      <w:tblPr>
        <w:tblStyle w:val="18"/>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971" w:type="dxa"/>
            <w:vAlign w:val="center"/>
          </w:tcPr>
          <w:p>
            <w:pPr>
              <w:snapToGrid w:val="0"/>
              <w:spacing w:line="360" w:lineRule="auto"/>
              <w:jc w:val="center"/>
              <w:rPr>
                <w:rFonts w:ascii="Times New Roman"/>
                <w:b/>
                <w:color w:val="000000"/>
                <w:szCs w:val="21"/>
                <w:highlight w:val="none"/>
              </w:rPr>
            </w:pPr>
            <w:r>
              <w:rPr>
                <w:rFonts w:ascii="Times New Roman"/>
                <w:b/>
                <w:color w:val="000000"/>
                <w:szCs w:val="21"/>
                <w:highlight w:val="none"/>
              </w:rPr>
              <w:t>序号</w:t>
            </w:r>
          </w:p>
        </w:tc>
        <w:tc>
          <w:tcPr>
            <w:tcW w:w="1321" w:type="dxa"/>
            <w:vAlign w:val="center"/>
          </w:tcPr>
          <w:p>
            <w:pPr>
              <w:snapToGrid w:val="0"/>
              <w:spacing w:line="360" w:lineRule="auto"/>
              <w:jc w:val="center"/>
              <w:rPr>
                <w:rFonts w:ascii="Times New Roman"/>
                <w:b/>
                <w:color w:val="000000"/>
                <w:szCs w:val="21"/>
                <w:highlight w:val="none"/>
              </w:rPr>
            </w:pPr>
            <w:r>
              <w:rPr>
                <w:rFonts w:ascii="Times New Roman"/>
                <w:b/>
                <w:color w:val="000000"/>
                <w:szCs w:val="21"/>
                <w:highlight w:val="none"/>
              </w:rPr>
              <w:t>名称</w:t>
            </w:r>
          </w:p>
        </w:tc>
        <w:tc>
          <w:tcPr>
            <w:tcW w:w="1417" w:type="dxa"/>
            <w:vAlign w:val="center"/>
          </w:tcPr>
          <w:p>
            <w:pPr>
              <w:snapToGrid w:val="0"/>
              <w:spacing w:line="360" w:lineRule="auto"/>
              <w:jc w:val="center"/>
              <w:rPr>
                <w:rFonts w:ascii="Times New Roman"/>
                <w:b/>
                <w:color w:val="000000"/>
                <w:szCs w:val="21"/>
                <w:highlight w:val="none"/>
              </w:rPr>
            </w:pPr>
            <w:r>
              <w:rPr>
                <w:rFonts w:ascii="Times New Roman"/>
                <w:b/>
                <w:color w:val="000000"/>
                <w:szCs w:val="21"/>
                <w:highlight w:val="none"/>
              </w:rPr>
              <w:t>服务范围</w:t>
            </w:r>
          </w:p>
        </w:tc>
        <w:tc>
          <w:tcPr>
            <w:tcW w:w="1418" w:type="dxa"/>
            <w:vAlign w:val="center"/>
          </w:tcPr>
          <w:p>
            <w:pPr>
              <w:snapToGrid w:val="0"/>
              <w:spacing w:line="360" w:lineRule="auto"/>
              <w:jc w:val="center"/>
              <w:rPr>
                <w:rFonts w:ascii="Times New Roman"/>
                <w:b/>
                <w:color w:val="000000"/>
                <w:szCs w:val="21"/>
                <w:highlight w:val="none"/>
              </w:rPr>
            </w:pPr>
            <w:r>
              <w:rPr>
                <w:rFonts w:ascii="Times New Roman"/>
                <w:b/>
                <w:color w:val="000000"/>
                <w:szCs w:val="21"/>
                <w:highlight w:val="none"/>
              </w:rPr>
              <w:t>服务要求</w:t>
            </w:r>
          </w:p>
        </w:tc>
        <w:tc>
          <w:tcPr>
            <w:tcW w:w="1275" w:type="dxa"/>
            <w:vAlign w:val="center"/>
          </w:tcPr>
          <w:p>
            <w:pPr>
              <w:snapToGrid w:val="0"/>
              <w:spacing w:line="360" w:lineRule="auto"/>
              <w:jc w:val="center"/>
              <w:rPr>
                <w:rFonts w:ascii="Times New Roman"/>
                <w:b/>
                <w:color w:val="000000"/>
                <w:szCs w:val="21"/>
                <w:highlight w:val="none"/>
              </w:rPr>
            </w:pPr>
            <w:r>
              <w:rPr>
                <w:rFonts w:ascii="Times New Roman"/>
                <w:b/>
                <w:color w:val="000000"/>
                <w:szCs w:val="21"/>
                <w:highlight w:val="none"/>
              </w:rPr>
              <w:t>服务时间</w:t>
            </w:r>
          </w:p>
        </w:tc>
        <w:tc>
          <w:tcPr>
            <w:tcW w:w="1276" w:type="dxa"/>
            <w:vAlign w:val="center"/>
          </w:tcPr>
          <w:p>
            <w:pPr>
              <w:snapToGrid w:val="0"/>
              <w:spacing w:line="360" w:lineRule="auto"/>
              <w:jc w:val="center"/>
              <w:rPr>
                <w:rFonts w:ascii="Times New Roman"/>
                <w:b/>
                <w:color w:val="000000"/>
                <w:szCs w:val="21"/>
                <w:highlight w:val="none"/>
              </w:rPr>
            </w:pPr>
            <w:r>
              <w:rPr>
                <w:rFonts w:ascii="Times New Roman"/>
                <w:b/>
                <w:color w:val="000000"/>
                <w:szCs w:val="21"/>
                <w:highlight w:val="none"/>
              </w:rPr>
              <w:t>服务标准</w:t>
            </w:r>
          </w:p>
        </w:tc>
        <w:tc>
          <w:tcPr>
            <w:tcW w:w="851" w:type="dxa"/>
            <w:vAlign w:val="center"/>
          </w:tcPr>
          <w:p>
            <w:pPr>
              <w:snapToGrid w:val="0"/>
              <w:spacing w:line="360" w:lineRule="auto"/>
              <w:jc w:val="center"/>
              <w:rPr>
                <w:rFonts w:ascii="Times New Roman"/>
                <w:b/>
                <w:color w:val="000000"/>
                <w:szCs w:val="21"/>
                <w:highlight w:val="none"/>
              </w:rPr>
            </w:pPr>
            <w:r>
              <w:rPr>
                <w:rFonts w:ascii="Times New Roman"/>
                <w:b/>
                <w:color w:val="000000"/>
                <w:szCs w:val="21"/>
                <w:highlight w:val="none"/>
              </w:rPr>
              <w:t>金额</w:t>
            </w:r>
          </w:p>
        </w:tc>
        <w:tc>
          <w:tcPr>
            <w:tcW w:w="1151" w:type="dxa"/>
            <w:vAlign w:val="center"/>
          </w:tcPr>
          <w:p>
            <w:pPr>
              <w:snapToGrid w:val="0"/>
              <w:spacing w:line="360" w:lineRule="auto"/>
              <w:ind w:firstLine="120" w:firstLineChars="50"/>
              <w:jc w:val="center"/>
              <w:rPr>
                <w:rFonts w:ascii="Times New Roman"/>
                <w:b/>
                <w:color w:val="000000"/>
                <w:szCs w:val="21"/>
                <w:highlight w:val="none"/>
              </w:rPr>
            </w:pPr>
            <w:r>
              <w:rPr>
                <w:rFonts w:ascii="Times New Roman"/>
                <w:b/>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jc w:val="center"/>
        </w:trPr>
        <w:tc>
          <w:tcPr>
            <w:tcW w:w="971" w:type="dxa"/>
            <w:vAlign w:val="center"/>
          </w:tcPr>
          <w:p>
            <w:pPr>
              <w:snapToGrid w:val="0"/>
              <w:spacing w:line="360" w:lineRule="auto"/>
              <w:jc w:val="center"/>
              <w:rPr>
                <w:rFonts w:ascii="Times New Roman" w:eastAsia="仿宋_GB2312"/>
                <w:color w:val="000000"/>
                <w:highlight w:val="none"/>
              </w:rPr>
            </w:pPr>
            <w:r>
              <w:rPr>
                <w:rFonts w:ascii="Times New Roman" w:eastAsia="仿宋_GB2312"/>
                <w:color w:val="000000"/>
                <w:highlight w:val="none"/>
              </w:rPr>
              <w:t>1</w:t>
            </w:r>
          </w:p>
        </w:tc>
        <w:tc>
          <w:tcPr>
            <w:tcW w:w="1321" w:type="dxa"/>
            <w:vAlign w:val="center"/>
          </w:tcPr>
          <w:p>
            <w:pPr>
              <w:snapToGrid w:val="0"/>
              <w:spacing w:line="360" w:lineRule="auto"/>
              <w:jc w:val="center"/>
              <w:rPr>
                <w:rFonts w:ascii="Times New Roman" w:eastAsia="仿宋_GB2312"/>
                <w:color w:val="000000"/>
                <w:highlight w:val="none"/>
              </w:rPr>
            </w:pPr>
          </w:p>
        </w:tc>
        <w:tc>
          <w:tcPr>
            <w:tcW w:w="1417" w:type="dxa"/>
            <w:vAlign w:val="center"/>
          </w:tcPr>
          <w:p>
            <w:pPr>
              <w:snapToGrid w:val="0"/>
              <w:spacing w:line="360" w:lineRule="auto"/>
              <w:jc w:val="center"/>
              <w:rPr>
                <w:rFonts w:ascii="Times New Roman" w:eastAsia="仿宋_GB2312"/>
                <w:color w:val="000000"/>
                <w:highlight w:val="none"/>
              </w:rPr>
            </w:pPr>
          </w:p>
        </w:tc>
        <w:tc>
          <w:tcPr>
            <w:tcW w:w="1418" w:type="dxa"/>
            <w:vAlign w:val="center"/>
          </w:tcPr>
          <w:p>
            <w:pPr>
              <w:snapToGrid w:val="0"/>
              <w:spacing w:line="360" w:lineRule="auto"/>
              <w:jc w:val="center"/>
              <w:rPr>
                <w:rFonts w:ascii="Times New Roman" w:eastAsia="仿宋_GB2312"/>
                <w:color w:val="000000"/>
                <w:highlight w:val="none"/>
              </w:rPr>
            </w:pPr>
          </w:p>
        </w:tc>
        <w:tc>
          <w:tcPr>
            <w:tcW w:w="1275" w:type="dxa"/>
            <w:vAlign w:val="center"/>
          </w:tcPr>
          <w:p>
            <w:pPr>
              <w:snapToGrid w:val="0"/>
              <w:spacing w:line="360" w:lineRule="auto"/>
              <w:jc w:val="center"/>
              <w:rPr>
                <w:rFonts w:ascii="Times New Roman" w:eastAsia="仿宋_GB2312"/>
                <w:color w:val="000000"/>
                <w:highlight w:val="none"/>
              </w:rPr>
            </w:pPr>
          </w:p>
        </w:tc>
        <w:tc>
          <w:tcPr>
            <w:tcW w:w="1276" w:type="dxa"/>
            <w:vAlign w:val="center"/>
          </w:tcPr>
          <w:p>
            <w:pPr>
              <w:snapToGrid w:val="0"/>
              <w:spacing w:line="360" w:lineRule="auto"/>
              <w:jc w:val="center"/>
              <w:rPr>
                <w:rFonts w:ascii="Times New Roman" w:eastAsia="仿宋_GB2312"/>
                <w:color w:val="000000"/>
                <w:highlight w:val="none"/>
              </w:rPr>
            </w:pPr>
          </w:p>
        </w:tc>
        <w:tc>
          <w:tcPr>
            <w:tcW w:w="851" w:type="dxa"/>
            <w:vAlign w:val="center"/>
          </w:tcPr>
          <w:p>
            <w:pPr>
              <w:snapToGrid w:val="0"/>
              <w:spacing w:line="360" w:lineRule="auto"/>
              <w:jc w:val="center"/>
              <w:rPr>
                <w:rFonts w:ascii="Times New Roman" w:eastAsia="仿宋_GB2312"/>
                <w:color w:val="000000"/>
                <w:highlight w:val="none"/>
              </w:rPr>
            </w:pPr>
          </w:p>
        </w:tc>
        <w:tc>
          <w:tcPr>
            <w:tcW w:w="1151" w:type="dxa"/>
            <w:vAlign w:val="center"/>
          </w:tcPr>
          <w:p>
            <w:pPr>
              <w:snapToGrid w:val="0"/>
              <w:spacing w:line="360" w:lineRule="auto"/>
              <w:jc w:val="center"/>
              <w:rPr>
                <w:rFonts w:ascii="Times New Roman" w:eastAsia="仿宋_GB2312"/>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971" w:type="dxa"/>
            <w:vAlign w:val="center"/>
          </w:tcPr>
          <w:p>
            <w:pPr>
              <w:snapToGrid w:val="0"/>
              <w:spacing w:line="360" w:lineRule="auto"/>
              <w:jc w:val="center"/>
              <w:rPr>
                <w:rFonts w:ascii="Times New Roman" w:eastAsia="仿宋_GB2312"/>
                <w:color w:val="000000"/>
                <w:highlight w:val="none"/>
              </w:rPr>
            </w:pPr>
            <w:r>
              <w:rPr>
                <w:rFonts w:ascii="Times New Roman" w:eastAsia="仿宋_GB2312"/>
                <w:color w:val="000000"/>
                <w:highlight w:val="none"/>
              </w:rPr>
              <w:t>2</w:t>
            </w:r>
          </w:p>
        </w:tc>
        <w:tc>
          <w:tcPr>
            <w:tcW w:w="1321" w:type="dxa"/>
            <w:vAlign w:val="center"/>
          </w:tcPr>
          <w:p>
            <w:pPr>
              <w:snapToGrid w:val="0"/>
              <w:spacing w:line="360" w:lineRule="auto"/>
              <w:jc w:val="center"/>
              <w:rPr>
                <w:rFonts w:ascii="Times New Roman" w:eastAsia="仿宋_GB2312"/>
                <w:color w:val="000000"/>
                <w:highlight w:val="none"/>
              </w:rPr>
            </w:pPr>
          </w:p>
        </w:tc>
        <w:tc>
          <w:tcPr>
            <w:tcW w:w="1417" w:type="dxa"/>
            <w:vAlign w:val="center"/>
          </w:tcPr>
          <w:p>
            <w:pPr>
              <w:snapToGrid w:val="0"/>
              <w:spacing w:line="360" w:lineRule="auto"/>
              <w:jc w:val="center"/>
              <w:rPr>
                <w:rFonts w:ascii="Times New Roman" w:eastAsia="仿宋_GB2312"/>
                <w:color w:val="000000"/>
                <w:highlight w:val="none"/>
              </w:rPr>
            </w:pPr>
          </w:p>
        </w:tc>
        <w:tc>
          <w:tcPr>
            <w:tcW w:w="1418" w:type="dxa"/>
            <w:vAlign w:val="center"/>
          </w:tcPr>
          <w:p>
            <w:pPr>
              <w:snapToGrid w:val="0"/>
              <w:spacing w:line="360" w:lineRule="auto"/>
              <w:jc w:val="center"/>
              <w:rPr>
                <w:rFonts w:ascii="Times New Roman" w:eastAsia="仿宋_GB2312"/>
                <w:color w:val="000000"/>
                <w:highlight w:val="none"/>
              </w:rPr>
            </w:pPr>
          </w:p>
        </w:tc>
        <w:tc>
          <w:tcPr>
            <w:tcW w:w="1275" w:type="dxa"/>
            <w:vAlign w:val="center"/>
          </w:tcPr>
          <w:p>
            <w:pPr>
              <w:snapToGrid w:val="0"/>
              <w:spacing w:line="360" w:lineRule="auto"/>
              <w:jc w:val="center"/>
              <w:rPr>
                <w:rFonts w:ascii="Times New Roman" w:eastAsia="仿宋_GB2312"/>
                <w:color w:val="000000"/>
                <w:highlight w:val="none"/>
              </w:rPr>
            </w:pPr>
          </w:p>
        </w:tc>
        <w:tc>
          <w:tcPr>
            <w:tcW w:w="1276" w:type="dxa"/>
            <w:vAlign w:val="center"/>
          </w:tcPr>
          <w:p>
            <w:pPr>
              <w:snapToGrid w:val="0"/>
              <w:spacing w:line="360" w:lineRule="auto"/>
              <w:jc w:val="center"/>
              <w:rPr>
                <w:rFonts w:ascii="Times New Roman" w:eastAsia="仿宋_GB2312"/>
                <w:color w:val="000000"/>
                <w:highlight w:val="none"/>
              </w:rPr>
            </w:pPr>
          </w:p>
        </w:tc>
        <w:tc>
          <w:tcPr>
            <w:tcW w:w="851" w:type="dxa"/>
            <w:vAlign w:val="center"/>
          </w:tcPr>
          <w:p>
            <w:pPr>
              <w:snapToGrid w:val="0"/>
              <w:spacing w:line="360" w:lineRule="auto"/>
              <w:jc w:val="center"/>
              <w:rPr>
                <w:rFonts w:ascii="Times New Roman" w:eastAsia="仿宋_GB2312"/>
                <w:color w:val="000000"/>
                <w:highlight w:val="none"/>
              </w:rPr>
            </w:pPr>
          </w:p>
        </w:tc>
        <w:tc>
          <w:tcPr>
            <w:tcW w:w="1151" w:type="dxa"/>
            <w:vAlign w:val="center"/>
          </w:tcPr>
          <w:p>
            <w:pPr>
              <w:snapToGrid w:val="0"/>
              <w:spacing w:line="360" w:lineRule="auto"/>
              <w:jc w:val="center"/>
              <w:rPr>
                <w:rFonts w:ascii="Times New Roman" w:eastAsia="仿宋_GB2312"/>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971" w:type="dxa"/>
            <w:vAlign w:val="center"/>
          </w:tcPr>
          <w:p>
            <w:pPr>
              <w:snapToGrid w:val="0"/>
              <w:spacing w:line="360" w:lineRule="auto"/>
              <w:jc w:val="center"/>
              <w:rPr>
                <w:rFonts w:ascii="Times New Roman" w:eastAsia="仿宋_GB2312"/>
                <w:color w:val="000000"/>
                <w:highlight w:val="none"/>
              </w:rPr>
            </w:pPr>
            <w:r>
              <w:rPr>
                <w:rFonts w:ascii="Times New Roman" w:eastAsia="仿宋_GB2312"/>
                <w:color w:val="000000"/>
                <w:highlight w:val="none"/>
              </w:rPr>
              <w:t>3</w:t>
            </w:r>
          </w:p>
        </w:tc>
        <w:tc>
          <w:tcPr>
            <w:tcW w:w="1321" w:type="dxa"/>
            <w:vAlign w:val="center"/>
          </w:tcPr>
          <w:p>
            <w:pPr>
              <w:snapToGrid w:val="0"/>
              <w:spacing w:line="360" w:lineRule="auto"/>
              <w:jc w:val="center"/>
              <w:rPr>
                <w:rFonts w:ascii="Times New Roman" w:eastAsia="仿宋_GB2312"/>
                <w:color w:val="000000"/>
                <w:highlight w:val="none"/>
              </w:rPr>
            </w:pPr>
          </w:p>
        </w:tc>
        <w:tc>
          <w:tcPr>
            <w:tcW w:w="1417" w:type="dxa"/>
            <w:vAlign w:val="center"/>
          </w:tcPr>
          <w:p>
            <w:pPr>
              <w:snapToGrid w:val="0"/>
              <w:spacing w:line="360" w:lineRule="auto"/>
              <w:jc w:val="center"/>
              <w:rPr>
                <w:rFonts w:ascii="Times New Roman" w:eastAsia="仿宋_GB2312"/>
                <w:color w:val="000000"/>
                <w:highlight w:val="none"/>
              </w:rPr>
            </w:pPr>
          </w:p>
        </w:tc>
        <w:tc>
          <w:tcPr>
            <w:tcW w:w="1418" w:type="dxa"/>
            <w:vAlign w:val="center"/>
          </w:tcPr>
          <w:p>
            <w:pPr>
              <w:snapToGrid w:val="0"/>
              <w:spacing w:line="360" w:lineRule="auto"/>
              <w:jc w:val="center"/>
              <w:rPr>
                <w:rFonts w:ascii="Times New Roman" w:eastAsia="仿宋_GB2312"/>
                <w:color w:val="000000"/>
                <w:highlight w:val="none"/>
              </w:rPr>
            </w:pPr>
          </w:p>
        </w:tc>
        <w:tc>
          <w:tcPr>
            <w:tcW w:w="1275" w:type="dxa"/>
            <w:vAlign w:val="center"/>
          </w:tcPr>
          <w:p>
            <w:pPr>
              <w:snapToGrid w:val="0"/>
              <w:spacing w:line="360" w:lineRule="auto"/>
              <w:jc w:val="center"/>
              <w:rPr>
                <w:rFonts w:ascii="Times New Roman" w:eastAsia="仿宋_GB2312"/>
                <w:color w:val="000000"/>
                <w:highlight w:val="none"/>
              </w:rPr>
            </w:pPr>
          </w:p>
        </w:tc>
        <w:tc>
          <w:tcPr>
            <w:tcW w:w="1276" w:type="dxa"/>
            <w:vAlign w:val="center"/>
          </w:tcPr>
          <w:p>
            <w:pPr>
              <w:snapToGrid w:val="0"/>
              <w:spacing w:line="360" w:lineRule="auto"/>
              <w:jc w:val="center"/>
              <w:rPr>
                <w:rFonts w:ascii="Times New Roman" w:eastAsia="仿宋_GB2312"/>
                <w:color w:val="000000"/>
                <w:highlight w:val="none"/>
              </w:rPr>
            </w:pPr>
          </w:p>
        </w:tc>
        <w:tc>
          <w:tcPr>
            <w:tcW w:w="851" w:type="dxa"/>
            <w:vAlign w:val="center"/>
          </w:tcPr>
          <w:p>
            <w:pPr>
              <w:snapToGrid w:val="0"/>
              <w:spacing w:line="360" w:lineRule="auto"/>
              <w:jc w:val="center"/>
              <w:rPr>
                <w:rFonts w:ascii="Times New Roman" w:eastAsia="仿宋_GB2312"/>
                <w:color w:val="000000"/>
                <w:highlight w:val="none"/>
              </w:rPr>
            </w:pPr>
          </w:p>
        </w:tc>
        <w:tc>
          <w:tcPr>
            <w:tcW w:w="1151" w:type="dxa"/>
            <w:vAlign w:val="center"/>
          </w:tcPr>
          <w:p>
            <w:pPr>
              <w:snapToGrid w:val="0"/>
              <w:spacing w:line="360" w:lineRule="auto"/>
              <w:jc w:val="center"/>
              <w:rPr>
                <w:rFonts w:ascii="Times New Roman" w:eastAsia="仿宋_GB2312"/>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971" w:type="dxa"/>
            <w:vAlign w:val="center"/>
          </w:tcPr>
          <w:p>
            <w:pPr>
              <w:snapToGrid w:val="0"/>
              <w:spacing w:line="360" w:lineRule="auto"/>
              <w:jc w:val="center"/>
              <w:rPr>
                <w:rFonts w:ascii="Times New Roman" w:eastAsia="仿宋_GB2312"/>
                <w:color w:val="000000"/>
                <w:highlight w:val="none"/>
              </w:rPr>
            </w:pPr>
            <w:r>
              <w:rPr>
                <w:rFonts w:ascii="Times New Roman" w:eastAsia="仿宋_GB2312"/>
                <w:color w:val="000000"/>
                <w:highlight w:val="none"/>
              </w:rPr>
              <w:t>4</w:t>
            </w:r>
          </w:p>
        </w:tc>
        <w:tc>
          <w:tcPr>
            <w:tcW w:w="1321" w:type="dxa"/>
            <w:vAlign w:val="center"/>
          </w:tcPr>
          <w:p>
            <w:pPr>
              <w:snapToGrid w:val="0"/>
              <w:spacing w:line="360" w:lineRule="auto"/>
              <w:jc w:val="center"/>
              <w:rPr>
                <w:rFonts w:ascii="Times New Roman" w:eastAsia="仿宋_GB2312"/>
                <w:color w:val="000000"/>
                <w:highlight w:val="none"/>
              </w:rPr>
            </w:pPr>
          </w:p>
        </w:tc>
        <w:tc>
          <w:tcPr>
            <w:tcW w:w="1417" w:type="dxa"/>
            <w:vAlign w:val="center"/>
          </w:tcPr>
          <w:p>
            <w:pPr>
              <w:snapToGrid w:val="0"/>
              <w:spacing w:line="360" w:lineRule="auto"/>
              <w:jc w:val="center"/>
              <w:rPr>
                <w:rFonts w:ascii="Times New Roman" w:eastAsia="仿宋_GB2312"/>
                <w:color w:val="000000"/>
                <w:highlight w:val="none"/>
              </w:rPr>
            </w:pPr>
          </w:p>
        </w:tc>
        <w:tc>
          <w:tcPr>
            <w:tcW w:w="1418" w:type="dxa"/>
            <w:vAlign w:val="center"/>
          </w:tcPr>
          <w:p>
            <w:pPr>
              <w:snapToGrid w:val="0"/>
              <w:spacing w:line="360" w:lineRule="auto"/>
              <w:jc w:val="center"/>
              <w:rPr>
                <w:rFonts w:ascii="Times New Roman" w:eastAsia="仿宋_GB2312"/>
                <w:color w:val="000000"/>
                <w:highlight w:val="none"/>
              </w:rPr>
            </w:pPr>
          </w:p>
        </w:tc>
        <w:tc>
          <w:tcPr>
            <w:tcW w:w="1275" w:type="dxa"/>
            <w:vAlign w:val="center"/>
          </w:tcPr>
          <w:p>
            <w:pPr>
              <w:snapToGrid w:val="0"/>
              <w:spacing w:line="360" w:lineRule="auto"/>
              <w:jc w:val="center"/>
              <w:rPr>
                <w:rFonts w:ascii="Times New Roman" w:eastAsia="仿宋_GB2312"/>
                <w:color w:val="000000"/>
                <w:highlight w:val="none"/>
              </w:rPr>
            </w:pPr>
          </w:p>
        </w:tc>
        <w:tc>
          <w:tcPr>
            <w:tcW w:w="1276" w:type="dxa"/>
            <w:vAlign w:val="center"/>
          </w:tcPr>
          <w:p>
            <w:pPr>
              <w:snapToGrid w:val="0"/>
              <w:spacing w:line="360" w:lineRule="auto"/>
              <w:jc w:val="center"/>
              <w:rPr>
                <w:rFonts w:ascii="Times New Roman" w:eastAsia="仿宋_GB2312"/>
                <w:color w:val="000000"/>
                <w:highlight w:val="none"/>
              </w:rPr>
            </w:pPr>
          </w:p>
        </w:tc>
        <w:tc>
          <w:tcPr>
            <w:tcW w:w="851" w:type="dxa"/>
            <w:vAlign w:val="center"/>
          </w:tcPr>
          <w:p>
            <w:pPr>
              <w:snapToGrid w:val="0"/>
              <w:spacing w:line="360" w:lineRule="auto"/>
              <w:jc w:val="center"/>
              <w:rPr>
                <w:rFonts w:ascii="Times New Roman" w:eastAsia="仿宋_GB2312"/>
                <w:color w:val="000000"/>
                <w:highlight w:val="none"/>
              </w:rPr>
            </w:pPr>
          </w:p>
        </w:tc>
        <w:tc>
          <w:tcPr>
            <w:tcW w:w="1151" w:type="dxa"/>
            <w:vAlign w:val="center"/>
          </w:tcPr>
          <w:p>
            <w:pPr>
              <w:snapToGrid w:val="0"/>
              <w:spacing w:line="360" w:lineRule="auto"/>
              <w:jc w:val="center"/>
              <w:rPr>
                <w:rFonts w:ascii="Times New Roman" w:eastAsia="仿宋_GB2312"/>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971" w:type="dxa"/>
            <w:vAlign w:val="center"/>
          </w:tcPr>
          <w:p>
            <w:pPr>
              <w:snapToGrid w:val="0"/>
              <w:spacing w:line="360" w:lineRule="auto"/>
              <w:jc w:val="center"/>
              <w:rPr>
                <w:rFonts w:ascii="Times New Roman" w:eastAsia="仿宋_GB2312"/>
                <w:color w:val="000000"/>
                <w:highlight w:val="none"/>
              </w:rPr>
            </w:pPr>
          </w:p>
        </w:tc>
        <w:tc>
          <w:tcPr>
            <w:tcW w:w="1321" w:type="dxa"/>
            <w:vAlign w:val="center"/>
          </w:tcPr>
          <w:p>
            <w:pPr>
              <w:snapToGrid w:val="0"/>
              <w:spacing w:line="360" w:lineRule="auto"/>
              <w:jc w:val="center"/>
              <w:rPr>
                <w:rFonts w:ascii="Times New Roman" w:eastAsia="仿宋_GB2312"/>
                <w:color w:val="000000"/>
                <w:highlight w:val="none"/>
              </w:rPr>
            </w:pPr>
          </w:p>
        </w:tc>
        <w:tc>
          <w:tcPr>
            <w:tcW w:w="1417" w:type="dxa"/>
            <w:vAlign w:val="center"/>
          </w:tcPr>
          <w:p>
            <w:pPr>
              <w:snapToGrid w:val="0"/>
              <w:spacing w:line="360" w:lineRule="auto"/>
              <w:jc w:val="center"/>
              <w:rPr>
                <w:rFonts w:ascii="Times New Roman" w:eastAsia="仿宋_GB2312"/>
                <w:color w:val="000000"/>
                <w:highlight w:val="none"/>
              </w:rPr>
            </w:pPr>
          </w:p>
        </w:tc>
        <w:tc>
          <w:tcPr>
            <w:tcW w:w="1418" w:type="dxa"/>
            <w:vAlign w:val="center"/>
          </w:tcPr>
          <w:p>
            <w:pPr>
              <w:snapToGrid w:val="0"/>
              <w:spacing w:line="360" w:lineRule="auto"/>
              <w:jc w:val="center"/>
              <w:rPr>
                <w:rFonts w:ascii="Times New Roman" w:eastAsia="仿宋_GB2312"/>
                <w:color w:val="000000"/>
                <w:highlight w:val="none"/>
              </w:rPr>
            </w:pPr>
          </w:p>
        </w:tc>
        <w:tc>
          <w:tcPr>
            <w:tcW w:w="1275" w:type="dxa"/>
            <w:vAlign w:val="center"/>
          </w:tcPr>
          <w:p>
            <w:pPr>
              <w:snapToGrid w:val="0"/>
              <w:spacing w:line="360" w:lineRule="auto"/>
              <w:jc w:val="center"/>
              <w:rPr>
                <w:rFonts w:ascii="Times New Roman" w:eastAsia="仿宋_GB2312"/>
                <w:color w:val="000000"/>
                <w:highlight w:val="none"/>
              </w:rPr>
            </w:pPr>
          </w:p>
        </w:tc>
        <w:tc>
          <w:tcPr>
            <w:tcW w:w="1276" w:type="dxa"/>
            <w:vAlign w:val="center"/>
          </w:tcPr>
          <w:p>
            <w:pPr>
              <w:snapToGrid w:val="0"/>
              <w:spacing w:line="360" w:lineRule="auto"/>
              <w:jc w:val="center"/>
              <w:rPr>
                <w:rFonts w:ascii="Times New Roman" w:eastAsia="仿宋_GB2312"/>
                <w:color w:val="000000"/>
                <w:highlight w:val="none"/>
              </w:rPr>
            </w:pPr>
          </w:p>
        </w:tc>
        <w:tc>
          <w:tcPr>
            <w:tcW w:w="851" w:type="dxa"/>
            <w:vAlign w:val="center"/>
          </w:tcPr>
          <w:p>
            <w:pPr>
              <w:snapToGrid w:val="0"/>
              <w:spacing w:line="360" w:lineRule="auto"/>
              <w:jc w:val="center"/>
              <w:rPr>
                <w:rFonts w:ascii="Times New Roman" w:eastAsia="仿宋_GB2312"/>
                <w:color w:val="000000"/>
                <w:highlight w:val="none"/>
              </w:rPr>
            </w:pPr>
          </w:p>
        </w:tc>
        <w:tc>
          <w:tcPr>
            <w:tcW w:w="1151" w:type="dxa"/>
            <w:vAlign w:val="center"/>
          </w:tcPr>
          <w:p>
            <w:pPr>
              <w:snapToGrid w:val="0"/>
              <w:spacing w:line="360" w:lineRule="auto"/>
              <w:jc w:val="center"/>
              <w:rPr>
                <w:rFonts w:ascii="Times New Roman" w:eastAsia="仿宋_GB2312"/>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971" w:type="dxa"/>
            <w:vAlign w:val="center"/>
          </w:tcPr>
          <w:p>
            <w:pPr>
              <w:snapToGrid w:val="0"/>
              <w:spacing w:line="360" w:lineRule="auto"/>
              <w:jc w:val="center"/>
              <w:rPr>
                <w:rFonts w:ascii="Times New Roman" w:eastAsia="仿宋_GB2312"/>
                <w:color w:val="000000"/>
                <w:highlight w:val="none"/>
              </w:rPr>
            </w:pPr>
            <w:r>
              <w:rPr>
                <w:rFonts w:ascii="Times New Roman" w:eastAsia="仿宋_GB2312"/>
                <w:color w:val="000000"/>
                <w:highlight w:val="none"/>
              </w:rPr>
              <w:t>合计</w:t>
            </w:r>
          </w:p>
        </w:tc>
        <w:tc>
          <w:tcPr>
            <w:tcW w:w="8709" w:type="dxa"/>
            <w:gridSpan w:val="7"/>
            <w:vAlign w:val="center"/>
          </w:tcPr>
          <w:p>
            <w:pPr>
              <w:snapToGrid w:val="0"/>
              <w:spacing w:line="360" w:lineRule="auto"/>
              <w:jc w:val="center"/>
              <w:rPr>
                <w:rFonts w:ascii="Times New Roman" w:eastAsia="仿宋_GB2312"/>
                <w:color w:val="000000"/>
                <w:highlight w:val="none"/>
              </w:rPr>
            </w:pPr>
          </w:p>
        </w:tc>
      </w:tr>
    </w:tbl>
    <w:p>
      <w:pPr>
        <w:snapToGrid w:val="0"/>
        <w:spacing w:line="300" w:lineRule="auto"/>
        <w:outlineLvl w:val="0"/>
        <w:rPr>
          <w:rFonts w:ascii="Times New Roman"/>
          <w:b/>
          <w:sz w:val="28"/>
          <w:szCs w:val="28"/>
          <w:highlight w:val="none"/>
          <w:lang w:val="zh-CN"/>
        </w:rPr>
      </w:pPr>
    </w:p>
    <w:p>
      <w:pPr>
        <w:snapToGrid w:val="0"/>
        <w:spacing w:line="300" w:lineRule="auto"/>
        <w:outlineLvl w:val="0"/>
        <w:rPr>
          <w:rFonts w:ascii="Times New Roman"/>
          <w:b/>
          <w:sz w:val="28"/>
          <w:szCs w:val="28"/>
          <w:highlight w:val="none"/>
          <w:lang w:val="zh-CN"/>
        </w:rPr>
      </w:pPr>
      <w:r>
        <w:rPr>
          <w:rFonts w:ascii="Times New Roman"/>
          <w:b/>
          <w:sz w:val="28"/>
          <w:szCs w:val="28"/>
          <w:highlight w:val="none"/>
          <w:lang w:val="zh-CN"/>
        </w:rPr>
        <w:t>注：投标人必须详细报出采购清单中各个子项的名称、品牌、规格型号、数量、单价。且本表各分项报价合计应当与投标报价总表报价合计相等。请各供应商务必按照以上要求填报，否则作为无效投标处理。</w:t>
      </w:r>
    </w:p>
    <w:p>
      <w:pPr>
        <w:snapToGrid w:val="0"/>
        <w:spacing w:line="300" w:lineRule="auto"/>
        <w:outlineLvl w:val="0"/>
        <w:rPr>
          <w:rFonts w:hint="eastAsia" w:ascii="Times New Roman" w:eastAsia="方正黑体_GBK"/>
          <w:sz w:val="32"/>
          <w:szCs w:val="32"/>
          <w:highlight w:val="none"/>
          <w:lang w:eastAsia="zh-CN"/>
        </w:rPr>
      </w:pPr>
      <w:r>
        <w:rPr>
          <w:rFonts w:ascii="Times New Roman"/>
          <w:b/>
          <w:bCs/>
          <w:sz w:val="32"/>
          <w:szCs w:val="32"/>
          <w:highlight w:val="none"/>
        </w:rPr>
        <w:br w:type="page"/>
      </w:r>
      <w:r>
        <w:rPr>
          <w:rFonts w:ascii="Times New Roman" w:eastAsia="方正黑体_GBK"/>
          <w:sz w:val="32"/>
          <w:szCs w:val="32"/>
          <w:highlight w:val="none"/>
        </w:rPr>
        <w:t>附件1</w:t>
      </w:r>
      <w:r>
        <w:rPr>
          <w:rFonts w:hint="eastAsia" w:ascii="Times New Roman" w:eastAsia="方正黑体_GBK"/>
          <w:sz w:val="32"/>
          <w:szCs w:val="32"/>
          <w:highlight w:val="none"/>
          <w:lang w:val="en-US" w:eastAsia="zh-CN"/>
        </w:rPr>
        <w:t>1</w:t>
      </w:r>
    </w:p>
    <w:p>
      <w:pPr>
        <w:jc w:val="center"/>
        <w:rPr>
          <w:rFonts w:ascii="Times New Roman" w:eastAsia="黑体"/>
          <w:bCs/>
          <w:sz w:val="44"/>
          <w:szCs w:val="44"/>
          <w:highlight w:val="none"/>
        </w:rPr>
      </w:pPr>
      <w:r>
        <w:rPr>
          <w:rFonts w:ascii="Times New Roman" w:eastAsia="黑体"/>
          <w:bCs/>
          <w:sz w:val="44"/>
          <w:szCs w:val="44"/>
          <w:highlight w:val="none"/>
        </w:rPr>
        <w:t>质疑函范本</w:t>
      </w:r>
    </w:p>
    <w:p>
      <w:pPr>
        <w:adjustRightInd w:val="0"/>
        <w:snapToGrid w:val="0"/>
        <w:spacing w:before="312" w:beforeLines="100" w:line="360" w:lineRule="auto"/>
        <w:rPr>
          <w:rFonts w:ascii="Times New Roman" w:eastAsia="黑体"/>
          <w:bCs/>
          <w:sz w:val="32"/>
          <w:szCs w:val="32"/>
          <w:highlight w:val="none"/>
        </w:rPr>
      </w:pPr>
      <w:r>
        <w:rPr>
          <w:rFonts w:ascii="Times New Roman" w:eastAsia="黑体"/>
          <w:bCs/>
          <w:sz w:val="32"/>
          <w:szCs w:val="32"/>
          <w:highlight w:val="none"/>
        </w:rPr>
        <w:t>一、质疑供应商基本信息</w:t>
      </w:r>
    </w:p>
    <w:p>
      <w:pPr>
        <w:adjustRightInd w:val="0"/>
        <w:snapToGrid w:val="0"/>
        <w:spacing w:line="360" w:lineRule="auto"/>
        <w:rPr>
          <w:rFonts w:ascii="Times New Roman" w:eastAsia="仿宋"/>
          <w:sz w:val="32"/>
          <w:szCs w:val="32"/>
          <w:highlight w:val="none"/>
          <w:u w:val="dotted"/>
        </w:rPr>
      </w:pPr>
      <w:r>
        <w:rPr>
          <w:rFonts w:ascii="Times New Roman" w:eastAsia="仿宋"/>
          <w:sz w:val="32"/>
          <w:szCs w:val="32"/>
          <w:highlight w:val="none"/>
        </w:rPr>
        <w:t>质疑供应商：</w:t>
      </w:r>
    </w:p>
    <w:p>
      <w:pPr>
        <w:adjustRightInd w:val="0"/>
        <w:snapToGrid w:val="0"/>
        <w:spacing w:line="360" w:lineRule="auto"/>
        <w:rPr>
          <w:rFonts w:ascii="Times New Roman" w:eastAsia="仿宋"/>
          <w:sz w:val="32"/>
          <w:szCs w:val="32"/>
          <w:highlight w:val="none"/>
        </w:rPr>
      </w:pPr>
      <w:r>
        <w:rPr>
          <w:rFonts w:ascii="Times New Roman" w:eastAsia="仿宋"/>
          <w:sz w:val="32"/>
          <w:szCs w:val="32"/>
          <w:highlight w:val="none"/>
        </w:rPr>
        <w:t>地址：               邮编：</w:t>
      </w:r>
    </w:p>
    <w:p>
      <w:pPr>
        <w:adjustRightInd w:val="0"/>
        <w:snapToGrid w:val="0"/>
        <w:spacing w:line="360" w:lineRule="auto"/>
        <w:rPr>
          <w:rFonts w:ascii="Times New Roman" w:eastAsia="仿宋"/>
          <w:sz w:val="32"/>
          <w:szCs w:val="32"/>
          <w:highlight w:val="none"/>
        </w:rPr>
      </w:pPr>
      <w:r>
        <w:rPr>
          <w:rFonts w:ascii="Times New Roman" w:eastAsia="仿宋"/>
          <w:sz w:val="32"/>
          <w:szCs w:val="32"/>
          <w:highlight w:val="none"/>
        </w:rPr>
        <w:t>联系人：             联系电话：</w:t>
      </w:r>
    </w:p>
    <w:p>
      <w:pPr>
        <w:adjustRightInd w:val="0"/>
        <w:snapToGrid w:val="0"/>
        <w:spacing w:line="360" w:lineRule="auto"/>
        <w:rPr>
          <w:rFonts w:ascii="Times New Roman" w:eastAsia="仿宋"/>
          <w:sz w:val="32"/>
          <w:szCs w:val="32"/>
          <w:highlight w:val="none"/>
          <w:u w:val="dotted"/>
        </w:rPr>
      </w:pPr>
      <w:r>
        <w:rPr>
          <w:rFonts w:ascii="Times New Roman" w:eastAsia="仿宋"/>
          <w:sz w:val="32"/>
          <w:szCs w:val="32"/>
          <w:highlight w:val="none"/>
        </w:rPr>
        <w:t>授权代表：</w:t>
      </w:r>
    </w:p>
    <w:p>
      <w:pPr>
        <w:adjustRightInd w:val="0"/>
        <w:snapToGrid w:val="0"/>
        <w:spacing w:line="360" w:lineRule="auto"/>
        <w:rPr>
          <w:rFonts w:ascii="Times New Roman" w:eastAsia="仿宋"/>
          <w:sz w:val="32"/>
          <w:szCs w:val="32"/>
          <w:highlight w:val="none"/>
        </w:rPr>
      </w:pPr>
      <w:r>
        <w:rPr>
          <w:rFonts w:ascii="Times New Roman" w:eastAsia="仿宋"/>
          <w:sz w:val="32"/>
          <w:szCs w:val="32"/>
          <w:highlight w:val="none"/>
        </w:rPr>
        <w:t>联系电话：</w:t>
      </w:r>
    </w:p>
    <w:p>
      <w:pPr>
        <w:adjustRightInd w:val="0"/>
        <w:snapToGrid w:val="0"/>
        <w:spacing w:line="360" w:lineRule="auto"/>
        <w:rPr>
          <w:rFonts w:ascii="Times New Roman" w:eastAsia="仿宋"/>
          <w:sz w:val="32"/>
          <w:szCs w:val="32"/>
          <w:highlight w:val="none"/>
        </w:rPr>
      </w:pPr>
      <w:r>
        <w:rPr>
          <w:rFonts w:ascii="Times New Roman" w:eastAsia="仿宋"/>
          <w:sz w:val="32"/>
          <w:szCs w:val="32"/>
          <w:highlight w:val="none"/>
        </w:rPr>
        <w:t>地址：               邮编：        邮箱：</w:t>
      </w:r>
    </w:p>
    <w:p>
      <w:pPr>
        <w:adjustRightInd w:val="0"/>
        <w:snapToGrid w:val="0"/>
        <w:spacing w:line="360" w:lineRule="auto"/>
        <w:rPr>
          <w:rFonts w:ascii="Times New Roman" w:eastAsia="黑体"/>
          <w:bCs/>
          <w:sz w:val="32"/>
          <w:szCs w:val="32"/>
          <w:highlight w:val="none"/>
        </w:rPr>
      </w:pPr>
      <w:r>
        <w:rPr>
          <w:rFonts w:ascii="Times New Roman" w:eastAsia="黑体"/>
          <w:bCs/>
          <w:sz w:val="32"/>
          <w:szCs w:val="32"/>
          <w:highlight w:val="none"/>
        </w:rPr>
        <w:t>二、质疑项目基本情况</w:t>
      </w:r>
    </w:p>
    <w:p>
      <w:pPr>
        <w:adjustRightInd w:val="0"/>
        <w:snapToGrid w:val="0"/>
        <w:spacing w:line="360" w:lineRule="auto"/>
        <w:rPr>
          <w:rFonts w:ascii="Times New Roman" w:eastAsia="仿宋"/>
          <w:sz w:val="32"/>
          <w:szCs w:val="32"/>
          <w:highlight w:val="none"/>
        </w:rPr>
      </w:pPr>
      <w:r>
        <w:rPr>
          <w:rFonts w:ascii="Times New Roman" w:eastAsia="仿宋"/>
          <w:sz w:val="32"/>
          <w:szCs w:val="32"/>
          <w:highlight w:val="none"/>
        </w:rPr>
        <w:t>质疑项目的名称：</w:t>
      </w:r>
    </w:p>
    <w:p>
      <w:pPr>
        <w:adjustRightInd w:val="0"/>
        <w:snapToGrid w:val="0"/>
        <w:spacing w:line="360" w:lineRule="auto"/>
        <w:rPr>
          <w:rFonts w:ascii="Times New Roman" w:eastAsia="仿宋"/>
          <w:sz w:val="32"/>
          <w:szCs w:val="32"/>
          <w:highlight w:val="none"/>
        </w:rPr>
      </w:pPr>
      <w:r>
        <w:rPr>
          <w:rFonts w:ascii="Times New Roman" w:eastAsia="仿宋"/>
          <w:sz w:val="32"/>
          <w:szCs w:val="32"/>
          <w:highlight w:val="none"/>
        </w:rPr>
        <w:t>质疑项目的编号：包号：</w:t>
      </w:r>
    </w:p>
    <w:p>
      <w:pPr>
        <w:adjustRightInd w:val="0"/>
        <w:snapToGrid w:val="0"/>
        <w:spacing w:line="360" w:lineRule="auto"/>
        <w:rPr>
          <w:rFonts w:ascii="Times New Roman" w:eastAsia="仿宋"/>
          <w:sz w:val="32"/>
          <w:szCs w:val="32"/>
          <w:highlight w:val="none"/>
          <w:u w:val="dotted"/>
        </w:rPr>
      </w:pPr>
      <w:r>
        <w:rPr>
          <w:rFonts w:ascii="Times New Roman" w:eastAsia="仿宋"/>
          <w:sz w:val="32"/>
          <w:szCs w:val="32"/>
          <w:highlight w:val="none"/>
        </w:rPr>
        <w:t>采购人名称：</w:t>
      </w:r>
    </w:p>
    <w:p>
      <w:pPr>
        <w:adjustRightInd w:val="0"/>
        <w:snapToGrid w:val="0"/>
        <w:spacing w:line="360" w:lineRule="auto"/>
        <w:rPr>
          <w:rFonts w:ascii="Times New Roman" w:eastAsia="仿宋"/>
          <w:sz w:val="32"/>
          <w:szCs w:val="32"/>
          <w:highlight w:val="none"/>
        </w:rPr>
      </w:pPr>
      <w:r>
        <w:rPr>
          <w:rFonts w:ascii="Times New Roman" w:eastAsia="仿宋"/>
          <w:sz w:val="32"/>
          <w:szCs w:val="32"/>
          <w:highlight w:val="none"/>
        </w:rPr>
        <w:t>采购文件获取日期：</w:t>
      </w:r>
    </w:p>
    <w:p>
      <w:pPr>
        <w:adjustRightInd w:val="0"/>
        <w:snapToGrid w:val="0"/>
        <w:spacing w:line="360" w:lineRule="auto"/>
        <w:rPr>
          <w:rFonts w:ascii="Times New Roman" w:eastAsia="黑体"/>
          <w:bCs/>
          <w:sz w:val="32"/>
          <w:szCs w:val="32"/>
          <w:highlight w:val="none"/>
        </w:rPr>
      </w:pPr>
      <w:r>
        <w:rPr>
          <w:rFonts w:ascii="Times New Roman" w:eastAsia="黑体"/>
          <w:bCs/>
          <w:sz w:val="32"/>
          <w:szCs w:val="32"/>
          <w:highlight w:val="none"/>
        </w:rPr>
        <w:t>三、质疑事项具体内容</w:t>
      </w:r>
    </w:p>
    <w:p>
      <w:pPr>
        <w:adjustRightInd w:val="0"/>
        <w:snapToGrid w:val="0"/>
        <w:spacing w:line="360" w:lineRule="auto"/>
        <w:rPr>
          <w:rFonts w:ascii="Times New Roman" w:eastAsia="仿宋"/>
          <w:sz w:val="32"/>
          <w:szCs w:val="32"/>
          <w:highlight w:val="none"/>
          <w:u w:val="dotted"/>
        </w:rPr>
      </w:pPr>
      <w:r>
        <w:rPr>
          <w:rFonts w:ascii="Times New Roman" w:eastAsia="仿宋"/>
          <w:sz w:val="32"/>
          <w:szCs w:val="32"/>
          <w:highlight w:val="none"/>
        </w:rPr>
        <w:t>质疑事项1：</w:t>
      </w:r>
    </w:p>
    <w:p>
      <w:pPr>
        <w:adjustRightInd w:val="0"/>
        <w:snapToGrid w:val="0"/>
        <w:spacing w:line="360" w:lineRule="auto"/>
        <w:rPr>
          <w:rFonts w:ascii="Times New Roman" w:eastAsia="仿宋"/>
          <w:sz w:val="32"/>
          <w:szCs w:val="32"/>
          <w:highlight w:val="none"/>
          <w:u w:val="dotted"/>
        </w:rPr>
      </w:pPr>
      <w:r>
        <w:rPr>
          <w:rFonts w:ascii="Times New Roman" w:eastAsia="仿宋"/>
          <w:sz w:val="32"/>
          <w:szCs w:val="32"/>
          <w:highlight w:val="none"/>
        </w:rPr>
        <w:t>事实依据：</w:t>
      </w:r>
    </w:p>
    <w:p>
      <w:pPr>
        <w:adjustRightInd w:val="0"/>
        <w:snapToGrid w:val="0"/>
        <w:spacing w:line="360" w:lineRule="auto"/>
        <w:rPr>
          <w:rFonts w:ascii="Times New Roman" w:eastAsia="仿宋"/>
          <w:sz w:val="32"/>
          <w:szCs w:val="32"/>
          <w:highlight w:val="none"/>
        </w:rPr>
      </w:pPr>
    </w:p>
    <w:p>
      <w:pPr>
        <w:adjustRightInd w:val="0"/>
        <w:snapToGrid w:val="0"/>
        <w:spacing w:line="360" w:lineRule="auto"/>
        <w:rPr>
          <w:rFonts w:ascii="Times New Roman" w:eastAsia="仿宋"/>
          <w:sz w:val="32"/>
          <w:szCs w:val="32"/>
          <w:highlight w:val="none"/>
          <w:u w:val="dotted"/>
        </w:rPr>
      </w:pPr>
      <w:r>
        <w:rPr>
          <w:rFonts w:ascii="Times New Roman" w:eastAsia="仿宋"/>
          <w:sz w:val="32"/>
          <w:szCs w:val="32"/>
          <w:highlight w:val="none"/>
        </w:rPr>
        <w:t>法律依据：</w:t>
      </w:r>
    </w:p>
    <w:p>
      <w:pPr>
        <w:adjustRightInd w:val="0"/>
        <w:snapToGrid w:val="0"/>
        <w:spacing w:line="360" w:lineRule="auto"/>
        <w:rPr>
          <w:rFonts w:ascii="Times New Roman" w:eastAsia="仿宋"/>
          <w:sz w:val="32"/>
          <w:szCs w:val="32"/>
          <w:highlight w:val="none"/>
          <w:u w:val="dotted"/>
        </w:rPr>
      </w:pPr>
    </w:p>
    <w:p>
      <w:pPr>
        <w:adjustRightInd w:val="0"/>
        <w:snapToGrid w:val="0"/>
        <w:spacing w:line="360" w:lineRule="auto"/>
        <w:rPr>
          <w:rFonts w:ascii="Times New Roman" w:eastAsia="仿宋"/>
          <w:sz w:val="32"/>
          <w:szCs w:val="32"/>
          <w:highlight w:val="none"/>
          <w:u w:val="dotted"/>
        </w:rPr>
      </w:pPr>
      <w:r>
        <w:rPr>
          <w:rFonts w:ascii="Times New Roman" w:eastAsia="仿宋"/>
          <w:sz w:val="32"/>
          <w:szCs w:val="32"/>
          <w:highlight w:val="none"/>
        </w:rPr>
        <w:t>质疑事项2</w:t>
      </w:r>
    </w:p>
    <w:p>
      <w:pPr>
        <w:adjustRightInd w:val="0"/>
        <w:snapToGrid w:val="0"/>
        <w:spacing w:line="360" w:lineRule="auto"/>
        <w:rPr>
          <w:rFonts w:ascii="Times New Roman" w:eastAsia="仿宋"/>
          <w:sz w:val="32"/>
          <w:szCs w:val="32"/>
          <w:highlight w:val="none"/>
        </w:rPr>
      </w:pPr>
      <w:r>
        <w:rPr>
          <w:rFonts w:ascii="Times New Roman" w:eastAsia="仿宋"/>
          <w:sz w:val="32"/>
          <w:szCs w:val="32"/>
          <w:highlight w:val="none"/>
        </w:rPr>
        <w:t>……</w:t>
      </w:r>
    </w:p>
    <w:p>
      <w:pPr>
        <w:adjustRightInd w:val="0"/>
        <w:snapToGrid w:val="0"/>
        <w:spacing w:line="360" w:lineRule="auto"/>
        <w:rPr>
          <w:rFonts w:ascii="Times New Roman" w:eastAsia="黑体"/>
          <w:bCs/>
          <w:sz w:val="32"/>
          <w:szCs w:val="32"/>
          <w:highlight w:val="none"/>
        </w:rPr>
      </w:pPr>
      <w:r>
        <w:rPr>
          <w:rFonts w:ascii="Times New Roman" w:eastAsia="黑体"/>
          <w:bCs/>
          <w:sz w:val="32"/>
          <w:szCs w:val="32"/>
          <w:highlight w:val="none"/>
        </w:rPr>
        <w:t>四、与质疑事项相关的质疑请求</w:t>
      </w:r>
    </w:p>
    <w:p>
      <w:pPr>
        <w:adjustRightInd w:val="0"/>
        <w:snapToGrid w:val="0"/>
        <w:spacing w:line="360" w:lineRule="auto"/>
        <w:rPr>
          <w:rFonts w:ascii="Times New Roman" w:eastAsia="仿宋"/>
          <w:sz w:val="32"/>
          <w:szCs w:val="32"/>
          <w:highlight w:val="none"/>
          <w:u w:val="dotted"/>
        </w:rPr>
      </w:pPr>
      <w:r>
        <w:rPr>
          <w:rFonts w:ascii="Times New Roman" w:eastAsia="仿宋"/>
          <w:sz w:val="32"/>
          <w:szCs w:val="32"/>
          <w:highlight w:val="none"/>
        </w:rPr>
        <w:t>请求：</w:t>
      </w:r>
    </w:p>
    <w:p>
      <w:pPr>
        <w:rPr>
          <w:rFonts w:ascii="Times New Roman" w:eastAsia="仿宋_GB2312"/>
          <w:sz w:val="30"/>
          <w:szCs w:val="30"/>
          <w:highlight w:val="none"/>
        </w:rPr>
      </w:pPr>
      <w:r>
        <w:rPr>
          <w:rFonts w:ascii="Times New Roman" w:eastAsia="仿宋_GB2312"/>
          <w:sz w:val="30"/>
          <w:szCs w:val="30"/>
          <w:highlight w:val="none"/>
        </w:rPr>
        <w:t xml:space="preserve">签字(签章)：                   公章：                      </w:t>
      </w:r>
    </w:p>
    <w:p>
      <w:pPr>
        <w:rPr>
          <w:rFonts w:ascii="Times New Roman" w:eastAsia="仿宋_GB2312"/>
          <w:sz w:val="30"/>
          <w:szCs w:val="30"/>
          <w:highlight w:val="none"/>
        </w:rPr>
      </w:pPr>
      <w:r>
        <w:rPr>
          <w:rFonts w:ascii="Times New Roman" w:eastAsia="仿宋_GB2312"/>
          <w:sz w:val="30"/>
          <w:szCs w:val="30"/>
          <w:highlight w:val="none"/>
        </w:rPr>
        <w:t xml:space="preserve">日期：    </w:t>
      </w:r>
    </w:p>
    <w:p>
      <w:pPr>
        <w:adjustRightInd w:val="0"/>
        <w:snapToGrid w:val="0"/>
        <w:spacing w:line="360" w:lineRule="auto"/>
        <w:rPr>
          <w:rFonts w:ascii="Times New Roman" w:eastAsia="仿宋"/>
          <w:sz w:val="32"/>
          <w:szCs w:val="32"/>
          <w:highlight w:val="none"/>
        </w:rPr>
      </w:pPr>
    </w:p>
    <w:p>
      <w:pPr>
        <w:rPr>
          <w:rFonts w:ascii="Times New Roman" w:eastAsia="黑体"/>
          <w:b/>
          <w:sz w:val="32"/>
          <w:szCs w:val="32"/>
          <w:highlight w:val="none"/>
        </w:rPr>
      </w:pPr>
    </w:p>
    <w:p>
      <w:pPr>
        <w:rPr>
          <w:rFonts w:ascii="Times New Roman" w:eastAsia="黑体"/>
          <w:b/>
          <w:sz w:val="32"/>
          <w:szCs w:val="32"/>
          <w:highlight w:val="none"/>
        </w:rPr>
      </w:pPr>
      <w:r>
        <w:rPr>
          <w:rFonts w:ascii="Times New Roman" w:eastAsia="黑体"/>
          <w:b/>
          <w:sz w:val="32"/>
          <w:szCs w:val="32"/>
          <w:highlight w:val="none"/>
        </w:rPr>
        <w:t>质疑函制作说明：</w:t>
      </w:r>
    </w:p>
    <w:p>
      <w:pPr>
        <w:widowControl/>
        <w:ind w:firstLine="640" w:firstLineChars="200"/>
        <w:jc w:val="left"/>
        <w:rPr>
          <w:rFonts w:ascii="Times New Roman" w:eastAsia="仿宋_GB2312"/>
          <w:sz w:val="32"/>
          <w:szCs w:val="32"/>
          <w:highlight w:val="none"/>
        </w:rPr>
      </w:pPr>
      <w:r>
        <w:rPr>
          <w:rFonts w:ascii="Times New Roman" w:eastAsia="仿宋_GB2312"/>
          <w:sz w:val="32"/>
          <w:szCs w:val="32"/>
          <w:highlight w:val="none"/>
        </w:rPr>
        <w:t>1.供应商提出质疑时，应提交质疑函和必要的证明材料。</w:t>
      </w:r>
    </w:p>
    <w:p>
      <w:pPr>
        <w:widowControl/>
        <w:ind w:firstLine="640" w:firstLineChars="200"/>
        <w:jc w:val="left"/>
        <w:rPr>
          <w:rFonts w:ascii="Times New Roman" w:eastAsia="仿宋_GB2312"/>
          <w:sz w:val="32"/>
          <w:szCs w:val="32"/>
          <w:highlight w:val="none"/>
        </w:rPr>
      </w:pPr>
      <w:r>
        <w:rPr>
          <w:rFonts w:ascii="Times New Roman" w:eastAsia="仿宋_GB2312"/>
          <w:sz w:val="32"/>
          <w:szCs w:val="3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ind w:firstLine="640" w:firstLineChars="200"/>
        <w:jc w:val="left"/>
        <w:rPr>
          <w:rFonts w:ascii="Times New Roman" w:eastAsia="仿宋_GB2312"/>
          <w:sz w:val="32"/>
          <w:szCs w:val="32"/>
          <w:highlight w:val="none"/>
        </w:rPr>
      </w:pPr>
      <w:r>
        <w:rPr>
          <w:rFonts w:ascii="Times New Roman" w:eastAsia="仿宋_GB2312"/>
          <w:sz w:val="32"/>
          <w:szCs w:val="32"/>
          <w:highlight w:val="none"/>
        </w:rPr>
        <w:t>3.质疑供应商若对项目的某一分包进行质疑，质疑函中应列明具体分包号。</w:t>
      </w:r>
    </w:p>
    <w:p>
      <w:pPr>
        <w:widowControl/>
        <w:ind w:firstLine="640" w:firstLineChars="200"/>
        <w:jc w:val="left"/>
        <w:rPr>
          <w:rFonts w:ascii="Times New Roman" w:eastAsia="仿宋_GB2312"/>
          <w:sz w:val="32"/>
          <w:szCs w:val="32"/>
          <w:highlight w:val="none"/>
        </w:rPr>
      </w:pPr>
      <w:r>
        <w:rPr>
          <w:rFonts w:ascii="Times New Roman" w:eastAsia="仿宋_GB2312"/>
          <w:sz w:val="32"/>
          <w:szCs w:val="32"/>
          <w:highlight w:val="none"/>
        </w:rPr>
        <w:t>4.质疑函的质疑事项应具体、明确，并有必要的事实依据和法律依据。</w:t>
      </w:r>
    </w:p>
    <w:p>
      <w:pPr>
        <w:widowControl/>
        <w:ind w:firstLine="640" w:firstLineChars="200"/>
        <w:jc w:val="left"/>
        <w:rPr>
          <w:rFonts w:ascii="Times New Roman" w:eastAsia="仿宋_GB2312"/>
          <w:sz w:val="32"/>
          <w:szCs w:val="32"/>
          <w:highlight w:val="none"/>
        </w:rPr>
      </w:pPr>
      <w:r>
        <w:rPr>
          <w:rFonts w:ascii="Times New Roman" w:eastAsia="仿宋_GB2312"/>
          <w:sz w:val="32"/>
          <w:szCs w:val="32"/>
          <w:highlight w:val="none"/>
        </w:rPr>
        <w:t>5.质疑函的质疑请求应与质疑事项相关。</w:t>
      </w:r>
    </w:p>
    <w:p>
      <w:pPr>
        <w:widowControl/>
        <w:ind w:firstLine="640" w:firstLineChars="200"/>
        <w:jc w:val="left"/>
        <w:rPr>
          <w:rFonts w:ascii="Times New Roman"/>
          <w:sz w:val="28"/>
          <w:szCs w:val="28"/>
          <w:highlight w:val="none"/>
        </w:rPr>
      </w:pPr>
      <w:r>
        <w:rPr>
          <w:rFonts w:ascii="Times New Roman" w:eastAsia="仿宋_GB2312"/>
          <w:sz w:val="32"/>
          <w:szCs w:val="32"/>
          <w:highlight w:val="none"/>
        </w:rPr>
        <w:t>6.质疑供应商为自然人的，质疑函应由本人签字；质疑供应商为法人或者其他组织的，质疑函应由法定代表人、主要负责人，或者其授权代表签字或者盖章，并加盖公章。</w:t>
      </w:r>
    </w:p>
    <w:p>
      <w:pPr>
        <w:snapToGrid w:val="0"/>
        <w:spacing w:line="420" w:lineRule="exact"/>
        <w:ind w:firstLine="566" w:firstLineChars="236"/>
        <w:rPr>
          <w:rFonts w:ascii="Times New Roman"/>
          <w:szCs w:val="26"/>
          <w:highlight w:val="none"/>
        </w:rPr>
      </w:pPr>
    </w:p>
    <w:p>
      <w:pPr>
        <w:spacing w:line="520" w:lineRule="exact"/>
        <w:ind w:firstLine="548" w:firstLineChars="196"/>
        <w:rPr>
          <w:rFonts w:ascii="Times New Roman"/>
          <w:sz w:val="28"/>
          <w:szCs w:val="28"/>
          <w:highlight w:val="none"/>
        </w:rPr>
      </w:pPr>
    </w:p>
    <w:p>
      <w:pPr>
        <w:rPr>
          <w:highlight w:val="none"/>
        </w:rPr>
      </w:pPr>
    </w:p>
    <w:sectPr>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7CC19"/>
    <w:multiLevelType w:val="singleLevel"/>
    <w:tmpl w:val="EC57CC19"/>
    <w:lvl w:ilvl="0" w:tentative="0">
      <w:start w:val="2"/>
      <w:numFmt w:val="chineseCounting"/>
      <w:suff w:val="nothing"/>
      <w:lvlText w:val="%1、"/>
      <w:lvlJc w:val="left"/>
      <w:rPr>
        <w:rFonts w:hint="eastAsia"/>
      </w:rPr>
    </w:lvl>
  </w:abstractNum>
  <w:abstractNum w:abstractNumId="1">
    <w:nsid w:val="101856BF"/>
    <w:multiLevelType w:val="singleLevel"/>
    <w:tmpl w:val="101856BF"/>
    <w:lvl w:ilvl="0" w:tentative="0">
      <w:start w:val="1"/>
      <w:numFmt w:val="decimal"/>
      <w:suff w:val="nothing"/>
      <w:lvlText w:val="%1、"/>
      <w:lvlJc w:val="left"/>
    </w:lvl>
  </w:abstractNum>
  <w:abstractNum w:abstractNumId="2">
    <w:nsid w:val="43657FEE"/>
    <w:multiLevelType w:val="singleLevel"/>
    <w:tmpl w:val="43657FEE"/>
    <w:lvl w:ilvl="0" w:tentative="0">
      <w:start w:val="1"/>
      <w:numFmt w:val="decimal"/>
      <w:suff w:val="nothing"/>
      <w:lvlText w:val="%1、"/>
      <w:lvlJc w:val="left"/>
    </w:lvl>
  </w:abstractNum>
  <w:abstractNum w:abstractNumId="3">
    <w:nsid w:val="4405C25D"/>
    <w:multiLevelType w:val="singleLevel"/>
    <w:tmpl w:val="4405C25D"/>
    <w:lvl w:ilvl="0" w:tentative="0">
      <w:start w:val="1"/>
      <w:numFmt w:val="chineseCounting"/>
      <w:suff w:val="nothing"/>
      <w:lvlText w:val="%1、"/>
      <w:lvlJc w:val="left"/>
      <w:rPr>
        <w:rFonts w:hint="eastAsia"/>
      </w:rPr>
    </w:lvl>
  </w:abstractNum>
  <w:abstractNum w:abstractNumId="4">
    <w:nsid w:val="4C2E8DB6"/>
    <w:multiLevelType w:val="singleLevel"/>
    <w:tmpl w:val="4C2E8DB6"/>
    <w:lvl w:ilvl="0" w:tentative="0">
      <w:start w:val="1"/>
      <w:numFmt w:val="decimal"/>
      <w:suff w:val="nothing"/>
      <w:lvlText w:val="%1、"/>
      <w:lvlJc w:val="left"/>
    </w:lvl>
  </w:abstractNum>
  <w:abstractNum w:abstractNumId="5">
    <w:nsid w:val="4E31E413"/>
    <w:multiLevelType w:val="singleLevel"/>
    <w:tmpl w:val="4E31E413"/>
    <w:lvl w:ilvl="0" w:tentative="0">
      <w:start w:val="3"/>
      <w:numFmt w:val="decimal"/>
      <w:suff w:val="space"/>
      <w:lvlText w:val="%1."/>
      <w:lvlJc w:val="left"/>
    </w:lvl>
  </w:abstractNum>
  <w:abstractNum w:abstractNumId="6">
    <w:nsid w:val="53C2DCFD"/>
    <w:multiLevelType w:val="singleLevel"/>
    <w:tmpl w:val="53C2DCFD"/>
    <w:lvl w:ilvl="0" w:tentative="0">
      <w:start w:val="1"/>
      <w:numFmt w:val="decimal"/>
      <w:suff w:val="nothing"/>
      <w:lvlText w:val="%1、"/>
      <w:lvlJc w:val="left"/>
      <w:rPr>
        <w:rFonts w:hint="default"/>
        <w:color w:val="auto"/>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015CF"/>
    <w:rsid w:val="04B21C99"/>
    <w:rsid w:val="0E641856"/>
    <w:rsid w:val="14090348"/>
    <w:rsid w:val="1A4C6E95"/>
    <w:rsid w:val="1D8A1AA7"/>
    <w:rsid w:val="1DAC23D3"/>
    <w:rsid w:val="2B9D6D03"/>
    <w:rsid w:val="3319303D"/>
    <w:rsid w:val="3E5768F8"/>
    <w:rsid w:val="440320DE"/>
    <w:rsid w:val="4AAA049D"/>
    <w:rsid w:val="4EC778D4"/>
    <w:rsid w:val="4FE42B5D"/>
    <w:rsid w:val="564B7468"/>
    <w:rsid w:val="595E04E4"/>
    <w:rsid w:val="59B015CF"/>
    <w:rsid w:val="5A1613EB"/>
    <w:rsid w:val="61DD08D9"/>
    <w:rsid w:val="6A482A20"/>
    <w:rsid w:val="708D669F"/>
    <w:rsid w:val="71ED5665"/>
    <w:rsid w:val="75C1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2">
    <w:name w:val="heading 4"/>
    <w:basedOn w:val="1"/>
    <w:next w:val="1"/>
    <w:qFormat/>
    <w:uiPriority w:val="9"/>
    <w:pPr>
      <w:keepNext/>
      <w:jc w:val="center"/>
      <w:outlineLvl w:val="3"/>
    </w:pPr>
    <w:rPr>
      <w:rFonts w:eastAsia="新宋体"/>
      <w:kern w:val="0"/>
      <w:sz w:val="30"/>
      <w:szCs w:val="21"/>
    </w:rPr>
  </w:style>
  <w:style w:type="paragraph" w:styleId="4">
    <w:name w:val="heading 6"/>
    <w:basedOn w:val="1"/>
    <w:next w:val="5"/>
    <w:qFormat/>
    <w:uiPriority w:val="0"/>
    <w:pPr>
      <w:keepNext/>
      <w:jc w:val="center"/>
      <w:outlineLvl w:val="5"/>
    </w:pPr>
    <w:rPr>
      <w:b/>
      <w:kern w:val="0"/>
      <w:sz w:val="44"/>
      <w:szCs w:val="20"/>
    </w:rPr>
  </w:style>
  <w:style w:type="character" w:default="1" w:styleId="16">
    <w:name w:val="Default Paragraph Font"/>
    <w:semiHidden/>
    <w:uiPriority w:val="0"/>
  </w:style>
  <w:style w:type="table" w:default="1" w:styleId="18">
    <w:name w:val="Normal Table"/>
    <w:semiHidden/>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Body Text"/>
    <w:basedOn w:val="1"/>
    <w:next w:val="7"/>
    <w:unhideWhenUsed/>
    <w:qFormat/>
    <w:uiPriority w:val="0"/>
    <w:pPr>
      <w:spacing w:after="120"/>
    </w:p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9">
    <w:name w:val="Body Text Indent"/>
    <w:basedOn w:val="1"/>
    <w:next w:val="10"/>
    <w:qFormat/>
    <w:uiPriority w:val="0"/>
    <w:pPr>
      <w:ind w:left="765"/>
    </w:pPr>
    <w:rPr>
      <w:rFonts w:ascii="仿宋_GB2312" w:eastAsia="仿宋_GB2312"/>
      <w:kern w:val="0"/>
      <w:sz w:val="28"/>
      <w:szCs w:val="20"/>
    </w:rPr>
  </w:style>
  <w:style w:type="paragraph" w:styleId="10">
    <w:name w:val="envelope return"/>
    <w:basedOn w:val="1"/>
    <w:unhideWhenUsed/>
    <w:qFormat/>
    <w:uiPriority w:val="99"/>
    <w:pPr>
      <w:snapToGrid w:val="0"/>
    </w:pPr>
    <w:rPr>
      <w:rFonts w:ascii="Arial" w:hAnsi="Arial"/>
    </w:rPr>
  </w:style>
  <w:style w:type="paragraph" w:styleId="11">
    <w:name w:val="Plain Text"/>
    <w:basedOn w:val="1"/>
    <w:qFormat/>
    <w:uiPriority w:val="0"/>
    <w:rPr>
      <w:rFonts w:ascii="宋体" w:hAnsi="Courier New"/>
      <w:kern w:val="0"/>
      <w:sz w:val="20"/>
      <w:szCs w:val="21"/>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Body Text First Indent 2"/>
    <w:basedOn w:val="9"/>
    <w:next w:val="14"/>
    <w:unhideWhenUsed/>
    <w:qFormat/>
    <w:uiPriority w:val="99"/>
    <w:pPr>
      <w:ind w:firstLine="200" w:firstLineChars="200"/>
    </w:pPr>
  </w:style>
  <w:style w:type="paragraph" w:styleId="14">
    <w:name w:val="Body Text Indent 3"/>
    <w:basedOn w:val="1"/>
    <w:qFormat/>
    <w:uiPriority w:val="0"/>
    <w:pPr>
      <w:spacing w:after="120"/>
      <w:ind w:left="420" w:leftChars="200"/>
    </w:pPr>
    <w:rPr>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17">
    <w:name w:val="Strong"/>
    <w:qFormat/>
    <w:uiPriority w:val="0"/>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21">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2">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_0_0"/>
    <w:qFormat/>
    <w:uiPriority w:val="0"/>
    <w:pPr>
      <w:widowControl w:val="0"/>
      <w:jc w:val="both"/>
    </w:pPr>
    <w:rPr>
      <w:rFonts w:ascii="Calibri" w:hAnsi="Calibri" w:eastAsia="宋体" w:cs="Times New Roman"/>
      <w:kern w:val="2"/>
      <w:sz w:val="21"/>
      <w:szCs w:val="24"/>
      <w:lang w:val="en-US" w:eastAsia="zh-CN" w:bidi="ar-SA"/>
    </w:rPr>
  </w:style>
  <w:style w:type="table" w:customStyle="1" w:styleId="24">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Company>
  <Pages>1</Pages>
  <Words>0</Words>
  <Characters>0</Characters>
  <Lines>0</Lines>
  <Paragraphs>0</Paragraphs>
  <TotalTime>219</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2024-10-11T00:32:00Z</dcterms:created>
  <dc:creator>曹杰</dc:creator>
  <cp:lastModifiedBy>曹杰</cp:lastModifiedBy>
  <dcterms:modified xsi:type="dcterms:W3CDTF">2024-10-11T05:06:11Z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