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039D3">
      <w:pPr>
        <w:ind w:firstLine="2429" w:firstLineChars="550"/>
        <w:rPr>
          <w:rFonts w:eastAsia="楷体_GB2312"/>
          <w:b/>
          <w:sz w:val="44"/>
        </w:rPr>
      </w:pPr>
    </w:p>
    <w:p w14:paraId="15D68E18">
      <w:pPr>
        <w:spacing w:line="360" w:lineRule="auto"/>
        <w:jc w:val="center"/>
        <w:rPr>
          <w:rFonts w:hint="eastAsia" w:ascii="宋体" w:hAnsi="宋体" w:eastAsia="宋体" w:cs="宋体"/>
          <w:b/>
          <w:spacing w:val="20"/>
          <w:sz w:val="44"/>
          <w:szCs w:val="24"/>
          <w:u w:val="single"/>
          <w:lang w:eastAsia="zh-CN"/>
        </w:rPr>
      </w:pPr>
      <w:r>
        <w:rPr>
          <w:rFonts w:hint="eastAsia" w:ascii="宋体" w:hAnsi="宋体" w:eastAsia="宋体" w:cs="宋体"/>
          <w:b/>
          <w:spacing w:val="20"/>
          <w:sz w:val="44"/>
          <w:u w:val="single"/>
          <w:lang w:eastAsia="zh-CN"/>
        </w:rPr>
        <w:t>东南大学南通海洋高等研究院薄膜双向拉伸仪采购</w:t>
      </w:r>
    </w:p>
    <w:p w14:paraId="65587484">
      <w:pPr>
        <w:autoSpaceDE w:val="0"/>
        <w:autoSpaceDN w:val="0"/>
        <w:adjustRightInd w:val="0"/>
        <w:jc w:val="center"/>
        <w:rPr>
          <w:szCs w:val="21"/>
        </w:rPr>
      </w:pPr>
    </w:p>
    <w:p w14:paraId="235FA91D">
      <w:pPr>
        <w:autoSpaceDE w:val="0"/>
        <w:autoSpaceDN w:val="0"/>
        <w:adjustRightInd w:val="0"/>
        <w:spacing w:line="1000" w:lineRule="exact"/>
        <w:jc w:val="center"/>
        <w:rPr>
          <w:rFonts w:ascii="华文新魏" w:eastAsia="华文新魏"/>
          <w:b/>
          <w:bCs/>
          <w:sz w:val="100"/>
          <w:szCs w:val="100"/>
          <w:lang w:val="zh-CN"/>
        </w:rPr>
      </w:pPr>
    </w:p>
    <w:p w14:paraId="5A53C01C">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eastAsia="华文新魏"/>
          <w:b/>
          <w:bCs/>
          <w:sz w:val="100"/>
          <w:szCs w:val="100"/>
          <w:lang w:val="zh-CN"/>
        </w:rPr>
        <w:t>竞争性</w:t>
      </w:r>
    </w:p>
    <w:p w14:paraId="080E83E7">
      <w:pPr>
        <w:autoSpaceDE w:val="0"/>
        <w:autoSpaceDN w:val="0"/>
        <w:adjustRightInd w:val="0"/>
        <w:spacing w:line="1000" w:lineRule="exact"/>
        <w:jc w:val="center"/>
        <w:rPr>
          <w:rFonts w:ascii="华文新魏" w:hAnsi="Arial Narrow" w:eastAsia="华文新魏"/>
          <w:b/>
          <w:bCs/>
          <w:sz w:val="100"/>
          <w:szCs w:val="100"/>
        </w:rPr>
      </w:pPr>
      <w:r>
        <w:rPr>
          <w:rFonts w:hint="eastAsia" w:ascii="华文新魏" w:hAnsi="Arial Narrow" w:eastAsia="华文新魏"/>
          <w:b/>
          <w:bCs/>
          <w:sz w:val="100"/>
          <w:szCs w:val="100"/>
          <w:lang w:val="zh-CN"/>
        </w:rPr>
        <w:t>磋商文件</w:t>
      </w:r>
    </w:p>
    <w:p w14:paraId="71BDAB63">
      <w:pPr>
        <w:keepNext/>
        <w:keepLines/>
        <w:autoSpaceDE w:val="0"/>
        <w:autoSpaceDN w:val="0"/>
        <w:adjustRightInd w:val="0"/>
        <w:spacing w:before="260" w:after="260" w:line="600" w:lineRule="exact"/>
        <w:ind w:right="210" w:firstLine="1080" w:firstLineChars="300"/>
        <w:outlineLvl w:val="0"/>
        <w:rPr>
          <w:rFonts w:ascii="宋体" w:hAnsi="宋体"/>
          <w:sz w:val="36"/>
          <w:szCs w:val="36"/>
        </w:rPr>
      </w:pPr>
    </w:p>
    <w:p w14:paraId="2664E805">
      <w:pPr>
        <w:autoSpaceDE w:val="0"/>
        <w:autoSpaceDN w:val="0"/>
        <w:adjustRightInd w:val="0"/>
        <w:spacing w:line="360" w:lineRule="auto"/>
        <w:ind w:firstLine="420"/>
        <w:jc w:val="center"/>
        <w:rPr>
          <w:rFonts w:eastAsia="黑体"/>
          <w:szCs w:val="21"/>
        </w:rPr>
      </w:pPr>
    </w:p>
    <w:p w14:paraId="176A1E44">
      <w:pPr>
        <w:autoSpaceDE w:val="0"/>
        <w:autoSpaceDN w:val="0"/>
        <w:adjustRightInd w:val="0"/>
        <w:spacing w:line="360" w:lineRule="auto"/>
        <w:ind w:firstLine="420"/>
        <w:jc w:val="center"/>
        <w:rPr>
          <w:rFonts w:eastAsia="黑体"/>
          <w:szCs w:val="21"/>
        </w:rPr>
      </w:pPr>
    </w:p>
    <w:p w14:paraId="35A4661A">
      <w:pPr>
        <w:autoSpaceDE w:val="0"/>
        <w:autoSpaceDN w:val="0"/>
        <w:adjustRightInd w:val="0"/>
        <w:spacing w:line="360" w:lineRule="auto"/>
        <w:ind w:firstLine="420"/>
        <w:jc w:val="center"/>
        <w:rPr>
          <w:rFonts w:eastAsia="黑体"/>
          <w:szCs w:val="21"/>
        </w:rPr>
      </w:pPr>
    </w:p>
    <w:p w14:paraId="11D674D4">
      <w:pPr>
        <w:autoSpaceDE w:val="0"/>
        <w:autoSpaceDN w:val="0"/>
        <w:adjustRightInd w:val="0"/>
        <w:spacing w:line="360" w:lineRule="auto"/>
        <w:ind w:firstLine="420"/>
        <w:jc w:val="center"/>
        <w:rPr>
          <w:rFonts w:eastAsia="黑体"/>
          <w:szCs w:val="21"/>
        </w:rPr>
      </w:pPr>
    </w:p>
    <w:p w14:paraId="6BC2DA9E">
      <w:pPr>
        <w:autoSpaceDE w:val="0"/>
        <w:autoSpaceDN w:val="0"/>
        <w:adjustRightInd w:val="0"/>
        <w:spacing w:line="360" w:lineRule="auto"/>
        <w:ind w:firstLine="420"/>
        <w:jc w:val="center"/>
        <w:rPr>
          <w:rFonts w:eastAsia="黑体"/>
          <w:szCs w:val="21"/>
        </w:rPr>
      </w:pPr>
    </w:p>
    <w:p w14:paraId="0017EC03">
      <w:pPr>
        <w:autoSpaceDE w:val="0"/>
        <w:autoSpaceDN w:val="0"/>
        <w:adjustRightInd w:val="0"/>
        <w:jc w:val="center"/>
        <w:rPr>
          <w:szCs w:val="21"/>
        </w:rPr>
      </w:pPr>
    </w:p>
    <w:p w14:paraId="41B03337">
      <w:pPr>
        <w:pStyle w:val="35"/>
        <w:ind w:firstLine="420"/>
        <w:rPr>
          <w:szCs w:val="21"/>
        </w:rPr>
      </w:pPr>
    </w:p>
    <w:p w14:paraId="4B6CDF90">
      <w:pPr>
        <w:pStyle w:val="28"/>
        <w:rPr>
          <w:szCs w:val="21"/>
        </w:rPr>
      </w:pPr>
    </w:p>
    <w:p w14:paraId="6788F23C">
      <w:pPr>
        <w:autoSpaceDE w:val="0"/>
        <w:autoSpaceDN w:val="0"/>
        <w:adjustRightInd w:val="0"/>
        <w:spacing w:line="360" w:lineRule="auto"/>
        <w:rPr>
          <w:szCs w:val="21"/>
        </w:rPr>
      </w:pPr>
    </w:p>
    <w:p w14:paraId="3D8847E6">
      <w:pPr>
        <w:autoSpaceDE w:val="0"/>
        <w:autoSpaceDN w:val="0"/>
        <w:adjustRightInd w:val="0"/>
        <w:spacing w:line="360" w:lineRule="auto"/>
        <w:rPr>
          <w:szCs w:val="21"/>
        </w:rPr>
      </w:pPr>
    </w:p>
    <w:p w14:paraId="68DA38D4">
      <w:pPr>
        <w:spacing w:line="500" w:lineRule="exact"/>
        <w:jc w:val="center"/>
        <w:rPr>
          <w:rFonts w:ascii="宋体" w:hAnsi="宋体"/>
          <w:spacing w:val="20"/>
          <w:sz w:val="28"/>
          <w:szCs w:val="28"/>
        </w:rPr>
      </w:pPr>
      <w:r>
        <w:rPr>
          <w:rFonts w:hint="eastAsia" w:ascii="宋体" w:hAnsi="宋体"/>
          <w:spacing w:val="20"/>
          <w:sz w:val="28"/>
          <w:szCs w:val="28"/>
        </w:rPr>
        <w:t>采购单位</w:t>
      </w:r>
      <w:r>
        <w:rPr>
          <w:rFonts w:hint="eastAsia" w:ascii="宋体" w:hAnsi="宋体"/>
          <w:spacing w:val="20"/>
          <w:sz w:val="28"/>
          <w:szCs w:val="28"/>
          <w:u w:val="single"/>
        </w:rPr>
        <w:t>：东南大学南通海洋高等研究院</w:t>
      </w:r>
    </w:p>
    <w:p w14:paraId="35ABF80D">
      <w:pPr>
        <w:spacing w:line="500" w:lineRule="exact"/>
        <w:jc w:val="center"/>
        <w:rPr>
          <w:rFonts w:ascii="宋体" w:hAnsi="宋体"/>
          <w:spacing w:val="20"/>
          <w:sz w:val="28"/>
          <w:szCs w:val="28"/>
        </w:rPr>
      </w:pPr>
      <w:r>
        <w:rPr>
          <w:rFonts w:hint="eastAsia" w:ascii="宋体" w:hAnsi="宋体"/>
          <w:spacing w:val="20"/>
          <w:sz w:val="28"/>
          <w:szCs w:val="28"/>
        </w:rPr>
        <w:t>代理单位</w:t>
      </w:r>
      <w:r>
        <w:rPr>
          <w:rFonts w:hint="eastAsia" w:ascii="宋体" w:hAnsi="宋体"/>
          <w:spacing w:val="20"/>
          <w:sz w:val="28"/>
          <w:szCs w:val="28"/>
          <w:u w:val="single"/>
        </w:rPr>
        <w:t>：</w:t>
      </w:r>
      <w:r>
        <w:rPr>
          <w:rFonts w:hint="eastAsia" w:ascii="宋体" w:hAnsi="宋体"/>
          <w:spacing w:val="20"/>
          <w:sz w:val="28"/>
          <w:szCs w:val="28"/>
          <w:u w:val="single"/>
          <w:lang w:val="zh-CN"/>
        </w:rPr>
        <w:t>上海申邑工程咨询有限公司</w:t>
      </w:r>
    </w:p>
    <w:p w14:paraId="04EF0BFB">
      <w:pPr>
        <w:spacing w:line="500" w:lineRule="exact"/>
        <w:jc w:val="center"/>
        <w:rPr>
          <w:rFonts w:ascii="宋体" w:hAnsi="宋体"/>
          <w:spacing w:val="20"/>
          <w:sz w:val="28"/>
          <w:szCs w:val="28"/>
        </w:rPr>
      </w:pPr>
      <w:r>
        <w:rPr>
          <w:rFonts w:hint="eastAsia" w:ascii="宋体" w:hAnsi="宋体"/>
          <w:spacing w:val="20"/>
          <w:sz w:val="28"/>
          <w:szCs w:val="28"/>
        </w:rPr>
        <w:t>日期：</w:t>
      </w:r>
      <w:r>
        <w:rPr>
          <w:rFonts w:hint="eastAsia" w:ascii="宋体" w:hAnsi="宋体"/>
          <w:spacing w:val="20"/>
          <w:sz w:val="28"/>
          <w:szCs w:val="28"/>
          <w:u w:val="single"/>
        </w:rPr>
        <w:t>202</w:t>
      </w:r>
      <w:r>
        <w:rPr>
          <w:rFonts w:hint="eastAsia" w:ascii="宋体" w:hAnsi="宋体"/>
          <w:spacing w:val="20"/>
          <w:sz w:val="28"/>
          <w:szCs w:val="28"/>
          <w:u w:val="single"/>
          <w:lang w:val="en-US" w:eastAsia="zh-CN"/>
        </w:rPr>
        <w:t>5</w:t>
      </w:r>
      <w:r>
        <w:rPr>
          <w:rFonts w:hint="eastAsia" w:ascii="宋体" w:hAnsi="宋体"/>
          <w:spacing w:val="20"/>
          <w:sz w:val="28"/>
          <w:szCs w:val="28"/>
          <w:u w:val="single"/>
        </w:rPr>
        <w:t>年</w:t>
      </w:r>
      <w:r>
        <w:rPr>
          <w:rFonts w:hint="eastAsia" w:ascii="宋体" w:hAnsi="宋体"/>
          <w:spacing w:val="20"/>
          <w:sz w:val="28"/>
          <w:szCs w:val="28"/>
          <w:u w:val="single"/>
          <w:lang w:val="en-US" w:eastAsia="zh-CN"/>
        </w:rPr>
        <w:t>2</w:t>
      </w:r>
      <w:r>
        <w:rPr>
          <w:rFonts w:hint="eastAsia" w:ascii="宋体" w:hAnsi="宋体"/>
          <w:spacing w:val="20"/>
          <w:sz w:val="28"/>
          <w:szCs w:val="28"/>
          <w:u w:val="single"/>
        </w:rPr>
        <w:t xml:space="preserve"> 月</w:t>
      </w:r>
      <w:r>
        <w:rPr>
          <w:rFonts w:hint="eastAsia" w:ascii="宋体" w:hAnsi="宋体"/>
          <w:spacing w:val="20"/>
          <w:sz w:val="28"/>
          <w:szCs w:val="28"/>
          <w:u w:val="single"/>
          <w:lang w:val="en-US" w:eastAsia="zh-CN"/>
        </w:rPr>
        <w:t>27</w:t>
      </w:r>
      <w:r>
        <w:rPr>
          <w:rFonts w:hint="eastAsia" w:ascii="宋体" w:hAnsi="宋体"/>
          <w:spacing w:val="20"/>
          <w:sz w:val="28"/>
          <w:szCs w:val="28"/>
          <w:u w:val="single"/>
        </w:rPr>
        <w:t>日</w:t>
      </w:r>
    </w:p>
    <w:p w14:paraId="5960F6D3">
      <w:pPr>
        <w:spacing w:line="500" w:lineRule="exact"/>
        <w:jc w:val="center"/>
        <w:rPr>
          <w:b/>
          <w:sz w:val="44"/>
          <w:szCs w:val="44"/>
          <w:lang w:val="zh-CN"/>
        </w:rPr>
      </w:pPr>
    </w:p>
    <w:p w14:paraId="3B647911">
      <w:pPr>
        <w:jc w:val="center"/>
        <w:rPr>
          <w:sz w:val="36"/>
        </w:rPr>
      </w:pPr>
    </w:p>
    <w:p w14:paraId="3A1288E6">
      <w:pPr>
        <w:spacing w:line="500" w:lineRule="exact"/>
        <w:rPr>
          <w:snapToGrid w:val="0"/>
          <w:sz w:val="26"/>
          <w:szCs w:val="26"/>
        </w:rPr>
      </w:pPr>
    </w:p>
    <w:p w14:paraId="20852FC1">
      <w:pPr>
        <w:spacing w:line="500" w:lineRule="exact"/>
        <w:jc w:val="center"/>
        <w:rPr>
          <w:b/>
          <w:w w:val="150"/>
          <w:sz w:val="38"/>
          <w:szCs w:val="38"/>
        </w:rPr>
      </w:pPr>
    </w:p>
    <w:p w14:paraId="39DE5D2A">
      <w:pPr>
        <w:spacing w:line="500" w:lineRule="exact"/>
        <w:jc w:val="center"/>
        <w:rPr>
          <w:b/>
          <w:w w:val="150"/>
          <w:sz w:val="38"/>
          <w:szCs w:val="38"/>
        </w:rPr>
      </w:pPr>
      <w:r>
        <w:rPr>
          <w:b/>
          <w:w w:val="150"/>
          <w:sz w:val="38"/>
          <w:szCs w:val="38"/>
        </w:rPr>
        <w:t>目录</w:t>
      </w:r>
    </w:p>
    <w:p w14:paraId="37C61D6D">
      <w:pPr>
        <w:tabs>
          <w:tab w:val="left" w:pos="7740"/>
        </w:tabs>
        <w:spacing w:line="360" w:lineRule="auto"/>
        <w:rPr>
          <w:snapToGrid w:val="0"/>
          <w:sz w:val="26"/>
          <w:szCs w:val="26"/>
        </w:rPr>
      </w:pPr>
    </w:p>
    <w:p w14:paraId="405449C8">
      <w:pPr>
        <w:tabs>
          <w:tab w:val="left" w:pos="7740"/>
        </w:tabs>
        <w:spacing w:line="360" w:lineRule="auto"/>
        <w:rPr>
          <w:bCs/>
          <w:sz w:val="32"/>
          <w:szCs w:val="32"/>
        </w:rPr>
      </w:pPr>
      <w:r>
        <w:rPr>
          <w:bCs/>
          <w:sz w:val="32"/>
          <w:szCs w:val="32"/>
        </w:rPr>
        <w:t>第一部分竞争性磋商公告</w:t>
      </w:r>
    </w:p>
    <w:p w14:paraId="51421051">
      <w:pPr>
        <w:tabs>
          <w:tab w:val="left" w:pos="7740"/>
        </w:tabs>
        <w:spacing w:line="360" w:lineRule="auto"/>
        <w:rPr>
          <w:bCs/>
          <w:sz w:val="32"/>
          <w:szCs w:val="32"/>
        </w:rPr>
      </w:pPr>
      <w:r>
        <w:rPr>
          <w:bCs/>
          <w:sz w:val="32"/>
          <w:szCs w:val="32"/>
        </w:rPr>
        <w:t>第二部分磋商须知</w:t>
      </w:r>
    </w:p>
    <w:p w14:paraId="0E2B5EF8">
      <w:pPr>
        <w:tabs>
          <w:tab w:val="left" w:pos="7740"/>
        </w:tabs>
        <w:spacing w:line="360" w:lineRule="auto"/>
        <w:rPr>
          <w:bCs/>
          <w:sz w:val="32"/>
          <w:szCs w:val="32"/>
        </w:rPr>
      </w:pPr>
      <w:r>
        <w:rPr>
          <w:bCs/>
          <w:sz w:val="32"/>
          <w:szCs w:val="32"/>
        </w:rPr>
        <w:t>第三部分项目需求说明</w:t>
      </w:r>
    </w:p>
    <w:p w14:paraId="23B74604">
      <w:pPr>
        <w:tabs>
          <w:tab w:val="left" w:pos="7740"/>
        </w:tabs>
        <w:spacing w:line="360" w:lineRule="auto"/>
        <w:rPr>
          <w:bCs/>
          <w:sz w:val="32"/>
          <w:szCs w:val="32"/>
        </w:rPr>
      </w:pPr>
      <w:r>
        <w:rPr>
          <w:bCs/>
          <w:sz w:val="32"/>
          <w:szCs w:val="32"/>
        </w:rPr>
        <w:t>第四部分磋商程序和内容</w:t>
      </w:r>
    </w:p>
    <w:p w14:paraId="5E62DEF8">
      <w:pPr>
        <w:tabs>
          <w:tab w:val="left" w:pos="7740"/>
        </w:tabs>
        <w:spacing w:line="360" w:lineRule="auto"/>
        <w:rPr>
          <w:bCs/>
          <w:sz w:val="32"/>
          <w:szCs w:val="32"/>
        </w:rPr>
      </w:pPr>
      <w:r>
        <w:rPr>
          <w:bCs/>
          <w:sz w:val="32"/>
          <w:szCs w:val="32"/>
        </w:rPr>
        <w:t>第五部分</w:t>
      </w:r>
      <w:r>
        <w:rPr>
          <w:rFonts w:hint="eastAsia"/>
          <w:bCs/>
          <w:sz w:val="32"/>
          <w:szCs w:val="32"/>
        </w:rPr>
        <w:t>合同签订与验收付款</w:t>
      </w:r>
    </w:p>
    <w:p w14:paraId="206FC8C5">
      <w:pPr>
        <w:tabs>
          <w:tab w:val="left" w:pos="7740"/>
        </w:tabs>
        <w:spacing w:line="360" w:lineRule="auto"/>
        <w:rPr>
          <w:bCs/>
          <w:sz w:val="32"/>
          <w:szCs w:val="32"/>
        </w:rPr>
      </w:pPr>
      <w:r>
        <w:rPr>
          <w:bCs/>
          <w:sz w:val="32"/>
          <w:szCs w:val="32"/>
        </w:rPr>
        <w:t>第六部分质疑提出和处理</w:t>
      </w:r>
    </w:p>
    <w:p w14:paraId="36739284">
      <w:pPr>
        <w:tabs>
          <w:tab w:val="left" w:pos="7740"/>
        </w:tabs>
        <w:spacing w:line="360" w:lineRule="auto"/>
        <w:rPr>
          <w:bCs/>
          <w:sz w:val="32"/>
          <w:szCs w:val="32"/>
        </w:rPr>
      </w:pPr>
      <w:r>
        <w:rPr>
          <w:bCs/>
          <w:sz w:val="32"/>
          <w:szCs w:val="32"/>
        </w:rPr>
        <w:t>第七部分响应文件组成</w:t>
      </w:r>
    </w:p>
    <w:p w14:paraId="38ADCABB">
      <w:pPr>
        <w:tabs>
          <w:tab w:val="left" w:pos="7740"/>
        </w:tabs>
        <w:spacing w:line="500" w:lineRule="exact"/>
        <w:rPr>
          <w:rFonts w:eastAsia="楷体_GB2312"/>
          <w:b/>
          <w:spacing w:val="2"/>
          <w:sz w:val="32"/>
          <w:szCs w:val="32"/>
        </w:rPr>
      </w:pPr>
    </w:p>
    <w:p w14:paraId="299CB266">
      <w:pPr>
        <w:spacing w:line="500" w:lineRule="exact"/>
        <w:rPr>
          <w:sz w:val="32"/>
          <w:szCs w:val="32"/>
        </w:rPr>
      </w:pPr>
    </w:p>
    <w:p w14:paraId="16FC4639">
      <w:pPr>
        <w:adjustRightInd w:val="0"/>
        <w:snapToGrid w:val="0"/>
        <w:ind w:left="-158" w:leftChars="-75" w:right="-601" w:rightChars="-286"/>
        <w:rPr>
          <w:rFonts w:eastAsia="仿宋_GB2312"/>
          <w:b/>
          <w:sz w:val="48"/>
          <w:szCs w:val="48"/>
        </w:rPr>
      </w:pPr>
    </w:p>
    <w:p w14:paraId="145EABEA">
      <w:pPr>
        <w:jc w:val="center"/>
        <w:rPr>
          <w:b/>
          <w:sz w:val="36"/>
          <w:szCs w:val="36"/>
        </w:rPr>
        <w:sectPr>
          <w:headerReference r:id="rId3" w:type="default"/>
          <w:pgSz w:w="11906" w:h="16838"/>
          <w:pgMar w:top="1440" w:right="1700" w:bottom="1440" w:left="1800" w:header="851" w:footer="992" w:gutter="0"/>
          <w:cols w:space="720" w:num="1"/>
          <w:docGrid w:type="lines" w:linePitch="312" w:charSpace="0"/>
        </w:sectPr>
      </w:pPr>
    </w:p>
    <w:p w14:paraId="5399596E">
      <w:pPr>
        <w:snapToGrid w:val="0"/>
        <w:spacing w:line="300" w:lineRule="auto"/>
        <w:jc w:val="center"/>
        <w:outlineLvl w:val="0"/>
        <w:rPr>
          <w:b/>
          <w:sz w:val="36"/>
          <w:szCs w:val="36"/>
        </w:rPr>
      </w:pPr>
      <w:r>
        <w:rPr>
          <w:b/>
          <w:sz w:val="36"/>
          <w:szCs w:val="36"/>
        </w:rPr>
        <w:t>第一部分竞争性磋商公告</w:t>
      </w:r>
    </w:p>
    <w:p w14:paraId="1755E65D">
      <w:pPr>
        <w:spacing w:line="240" w:lineRule="atLeast"/>
        <w:jc w:val="center"/>
        <w:rPr>
          <w:rFonts w:eastAsia="黑体"/>
          <w:w w:val="90"/>
          <w:sz w:val="28"/>
          <w:szCs w:val="28"/>
        </w:rPr>
      </w:pPr>
      <w:r>
        <w:rPr>
          <w:rFonts w:hint="eastAsia" w:eastAsia="黑体"/>
          <w:w w:val="90"/>
          <w:sz w:val="28"/>
          <w:szCs w:val="28"/>
          <w:lang w:eastAsia="zh-CN"/>
        </w:rPr>
        <w:t>东南大学南通海洋高等研究院薄膜双向拉伸仪采购</w:t>
      </w:r>
      <w:r>
        <w:rPr>
          <w:rFonts w:eastAsia="黑体"/>
          <w:w w:val="90"/>
          <w:sz w:val="28"/>
          <w:szCs w:val="28"/>
        </w:rPr>
        <w:t>竞争性磋商公告</w:t>
      </w:r>
    </w:p>
    <w:p w14:paraId="02B8FF85">
      <w:pPr>
        <w:snapToGrid w:val="0"/>
        <w:spacing w:line="360" w:lineRule="auto"/>
        <w:ind w:firstLine="480" w:firstLineChars="200"/>
        <w:jc w:val="left"/>
        <w:rPr>
          <w:sz w:val="24"/>
          <w:lang w:val="zh-CN"/>
        </w:rPr>
      </w:pPr>
      <w:r>
        <w:rPr>
          <w:rFonts w:hint="eastAsia"/>
          <w:sz w:val="24"/>
          <w:lang w:val="zh-CN"/>
        </w:rPr>
        <w:t>上海申邑工程咨询有限公司</w:t>
      </w:r>
      <w:r>
        <w:rPr>
          <w:sz w:val="24"/>
          <w:lang w:val="zh-CN"/>
        </w:rPr>
        <w:t>受</w:t>
      </w:r>
      <w:r>
        <w:rPr>
          <w:rFonts w:hint="eastAsia"/>
          <w:sz w:val="24"/>
          <w:lang w:val="zh-CN"/>
        </w:rPr>
        <w:t>东南大学南通海洋高等研究院</w:t>
      </w:r>
      <w:r>
        <w:rPr>
          <w:sz w:val="24"/>
          <w:lang w:val="zh-CN"/>
        </w:rPr>
        <w:t>（下称采购人）委托，就</w:t>
      </w:r>
      <w:r>
        <w:rPr>
          <w:rFonts w:hint="eastAsia"/>
          <w:sz w:val="24"/>
          <w:lang w:val="zh-CN"/>
        </w:rPr>
        <w:t>东南大学南通海洋高等研究院薄膜双向拉伸仪采购</w:t>
      </w:r>
      <w:r>
        <w:rPr>
          <w:sz w:val="24"/>
          <w:lang w:val="zh-CN"/>
        </w:rPr>
        <w:t>实施竞争性磋商方式组织采购，现公告如下：</w:t>
      </w:r>
    </w:p>
    <w:tbl>
      <w:tblPr>
        <w:tblStyle w:val="36"/>
        <w:tblW w:w="934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16E4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345" w:type="dxa"/>
          </w:tcPr>
          <w:p w14:paraId="2E556AD2">
            <w:pPr>
              <w:spacing w:line="360" w:lineRule="auto"/>
              <w:ind w:left="53"/>
              <w:jc w:val="left"/>
              <w:rPr>
                <w:sz w:val="24"/>
              </w:rPr>
            </w:pPr>
            <w:r>
              <w:rPr>
                <w:sz w:val="24"/>
              </w:rPr>
              <w:t>项目概况</w:t>
            </w:r>
          </w:p>
          <w:p w14:paraId="02B25A54">
            <w:pPr>
              <w:spacing w:line="360" w:lineRule="auto"/>
              <w:ind w:left="53" w:firstLine="480" w:firstLineChars="200"/>
              <w:jc w:val="left"/>
              <w:rPr>
                <w:sz w:val="24"/>
              </w:rPr>
            </w:pPr>
            <w:r>
              <w:rPr>
                <w:rFonts w:hint="eastAsia"/>
                <w:sz w:val="24"/>
                <w:u w:val="single"/>
                <w:lang w:eastAsia="zh-CN"/>
              </w:rPr>
              <w:t>东南大学南通海洋高等研究院薄膜双向拉伸仪采购</w:t>
            </w:r>
            <w:r>
              <w:rPr>
                <w:sz w:val="24"/>
                <w:lang w:val="zh-CN"/>
              </w:rPr>
              <w:t>的潜在供应商在</w:t>
            </w:r>
            <w:r>
              <w:rPr>
                <w:rFonts w:hint="eastAsia"/>
                <w:sz w:val="24"/>
                <w:u w:val="single"/>
                <w:lang w:val="zh-CN"/>
              </w:rPr>
              <w:t>东南大学南通海洋高等研究院官网</w:t>
            </w:r>
            <w:r>
              <w:rPr>
                <w:sz w:val="24"/>
                <w:lang w:val="zh-CN"/>
              </w:rPr>
              <w:t>获取采购文件，并于</w:t>
            </w:r>
            <w:r>
              <w:rPr>
                <w:sz w:val="24"/>
                <w:u w:val="single"/>
                <w:lang w:val="zh-CN"/>
              </w:rPr>
              <w:t xml:space="preserve"> </w:t>
            </w:r>
            <w:r>
              <w:rPr>
                <w:rFonts w:hint="eastAsia"/>
                <w:sz w:val="24"/>
                <w:u w:val="single"/>
                <w:lang w:val="zh-CN"/>
              </w:rPr>
              <w:t>202</w:t>
            </w:r>
            <w:r>
              <w:rPr>
                <w:rFonts w:hint="eastAsia"/>
                <w:sz w:val="24"/>
                <w:u w:val="single"/>
                <w:lang w:val="en-US" w:eastAsia="zh-CN"/>
              </w:rPr>
              <w:t>5</w:t>
            </w:r>
            <w:r>
              <w:rPr>
                <w:sz w:val="24"/>
                <w:u w:val="single"/>
                <w:lang w:val="zh-CN"/>
              </w:rPr>
              <w:t xml:space="preserve"> </w:t>
            </w:r>
            <w:r>
              <w:rPr>
                <w:sz w:val="24"/>
                <w:lang w:val="zh-CN"/>
              </w:rPr>
              <w:t>年</w:t>
            </w:r>
            <w:r>
              <w:rPr>
                <w:sz w:val="24"/>
                <w:u w:val="single"/>
                <w:lang w:val="zh-CN"/>
              </w:rPr>
              <w:t xml:space="preserve"> </w:t>
            </w:r>
            <w:r>
              <w:rPr>
                <w:rFonts w:hint="eastAsia"/>
                <w:sz w:val="24"/>
                <w:u w:val="single"/>
                <w:lang w:val="en-US" w:eastAsia="zh-CN"/>
              </w:rPr>
              <w:t>3</w:t>
            </w:r>
            <w:r>
              <w:rPr>
                <w:rFonts w:hint="eastAsia"/>
                <w:sz w:val="24"/>
                <w:u w:val="single"/>
              </w:rPr>
              <w:t xml:space="preserve"> </w:t>
            </w:r>
            <w:r>
              <w:rPr>
                <w:sz w:val="24"/>
                <w:lang w:val="zh-CN"/>
              </w:rPr>
              <w:t>月</w:t>
            </w:r>
            <w:r>
              <w:rPr>
                <w:rFonts w:hint="eastAsia"/>
                <w:sz w:val="24"/>
                <w:lang w:val="en-US" w:eastAsia="zh-CN"/>
              </w:rPr>
              <w:t>11</w:t>
            </w:r>
            <w:r>
              <w:rPr>
                <w:sz w:val="24"/>
                <w:lang w:val="zh-CN"/>
              </w:rPr>
              <w:t>日</w:t>
            </w:r>
            <w:r>
              <w:rPr>
                <w:rFonts w:hint="eastAsia"/>
                <w:sz w:val="24"/>
                <w:u w:val="single"/>
                <w:lang w:val="en-US" w:eastAsia="zh-CN"/>
              </w:rPr>
              <w:t>14</w:t>
            </w:r>
            <w:r>
              <w:rPr>
                <w:rFonts w:hint="eastAsia"/>
                <w:sz w:val="24"/>
                <w:u w:val="single"/>
              </w:rPr>
              <w:t xml:space="preserve"> </w:t>
            </w:r>
            <w:r>
              <w:rPr>
                <w:rFonts w:hint="eastAsia"/>
                <w:sz w:val="24"/>
              </w:rPr>
              <w:t>时</w:t>
            </w:r>
            <w:r>
              <w:rPr>
                <w:rFonts w:hint="eastAsia"/>
                <w:sz w:val="24"/>
                <w:u w:val="single"/>
                <w:lang w:val="en-US" w:eastAsia="zh-CN"/>
              </w:rPr>
              <w:t>0</w:t>
            </w:r>
            <w:r>
              <w:rPr>
                <w:rFonts w:hint="eastAsia"/>
                <w:sz w:val="24"/>
                <w:u w:val="single"/>
              </w:rPr>
              <w:t>0分</w:t>
            </w:r>
            <w:r>
              <w:rPr>
                <w:sz w:val="24"/>
                <w:lang w:val="zh-CN"/>
              </w:rPr>
              <w:t>（北京时间）提交响应文件。</w:t>
            </w:r>
          </w:p>
        </w:tc>
      </w:tr>
    </w:tbl>
    <w:p w14:paraId="28F19B74">
      <w:pPr>
        <w:spacing w:line="360" w:lineRule="auto"/>
        <w:ind w:firstLine="480" w:firstLineChars="200"/>
        <w:jc w:val="left"/>
        <w:rPr>
          <w:sz w:val="24"/>
        </w:rPr>
      </w:pPr>
      <w:r>
        <w:rPr>
          <w:sz w:val="24"/>
        </w:rPr>
        <w:t>一、项目基本情况</w:t>
      </w:r>
    </w:p>
    <w:p w14:paraId="0C717378">
      <w:pPr>
        <w:spacing w:line="360" w:lineRule="auto"/>
        <w:ind w:firstLine="480" w:firstLineChars="200"/>
        <w:jc w:val="left"/>
        <w:rPr>
          <w:rFonts w:hint="eastAsia" w:eastAsia="宋体"/>
          <w:sz w:val="24"/>
          <w:lang w:eastAsia="zh-CN"/>
        </w:rPr>
      </w:pPr>
      <w:r>
        <w:rPr>
          <w:rFonts w:hint="eastAsia"/>
          <w:sz w:val="24"/>
        </w:rPr>
        <w:t>1</w:t>
      </w:r>
      <w:r>
        <w:rPr>
          <w:sz w:val="24"/>
        </w:rPr>
        <w:t>、项目名称：</w:t>
      </w:r>
      <w:r>
        <w:rPr>
          <w:rFonts w:hint="eastAsia"/>
          <w:sz w:val="24"/>
          <w:lang w:eastAsia="zh-CN"/>
        </w:rPr>
        <w:t>东南大学南通海洋高等研究院薄膜双向拉伸仪采购</w:t>
      </w:r>
    </w:p>
    <w:p w14:paraId="25AB8A72">
      <w:pPr>
        <w:spacing w:line="360" w:lineRule="auto"/>
        <w:ind w:firstLine="480" w:firstLineChars="200"/>
        <w:jc w:val="left"/>
        <w:rPr>
          <w:sz w:val="24"/>
        </w:rPr>
      </w:pPr>
      <w:r>
        <w:rPr>
          <w:rFonts w:hint="eastAsia"/>
          <w:sz w:val="24"/>
        </w:rPr>
        <w:t>2</w:t>
      </w:r>
      <w:r>
        <w:rPr>
          <w:sz w:val="24"/>
        </w:rPr>
        <w:t>、采购方式：竞争性磋商</w:t>
      </w:r>
    </w:p>
    <w:p w14:paraId="1697278A">
      <w:pPr>
        <w:spacing w:line="360" w:lineRule="auto"/>
        <w:ind w:firstLine="480" w:firstLineChars="200"/>
        <w:jc w:val="left"/>
        <w:rPr>
          <w:rFonts w:hAnsi="宋体"/>
          <w:sz w:val="24"/>
        </w:rPr>
      </w:pPr>
      <w:r>
        <w:rPr>
          <w:rFonts w:hint="eastAsia"/>
          <w:sz w:val="24"/>
        </w:rPr>
        <w:t>3</w:t>
      </w:r>
      <w:r>
        <w:rPr>
          <w:sz w:val="24"/>
        </w:rPr>
        <w:t>、预算金额：</w:t>
      </w:r>
      <w:r>
        <w:rPr>
          <w:rFonts w:hint="eastAsia"/>
          <w:sz w:val="24"/>
          <w:lang w:val="en-US" w:eastAsia="zh-CN"/>
        </w:rPr>
        <w:t>45</w:t>
      </w:r>
      <w:r>
        <w:rPr>
          <w:rFonts w:hint="eastAsia"/>
          <w:sz w:val="24"/>
        </w:rPr>
        <w:t>万元</w:t>
      </w:r>
    </w:p>
    <w:p w14:paraId="1293ED17">
      <w:pPr>
        <w:pStyle w:val="35"/>
        <w:ind w:left="0" w:leftChars="0" w:firstLine="480"/>
      </w:pPr>
      <w:r>
        <w:rPr>
          <w:rFonts w:hint="eastAsia" w:hAnsi="宋体"/>
          <w:sz w:val="24"/>
        </w:rPr>
        <w:t>4、最高限价：</w:t>
      </w:r>
      <w:r>
        <w:rPr>
          <w:rFonts w:hint="eastAsia"/>
          <w:sz w:val="24"/>
          <w:lang w:val="en-US" w:eastAsia="zh-CN"/>
        </w:rPr>
        <w:t>45</w:t>
      </w:r>
      <w:r>
        <w:rPr>
          <w:rFonts w:hint="eastAsia" w:hAnsi="宋体"/>
          <w:sz w:val="24"/>
        </w:rPr>
        <w:t>万元，</w:t>
      </w:r>
      <w:r>
        <w:rPr>
          <w:sz w:val="24"/>
        </w:rPr>
        <w:t>最</w:t>
      </w:r>
      <w:r>
        <w:rPr>
          <w:rFonts w:hAnsi="宋体"/>
          <w:sz w:val="24"/>
        </w:rPr>
        <w:t>终报价超过</w:t>
      </w:r>
      <w:r>
        <w:rPr>
          <w:rFonts w:hint="eastAsia" w:hAnsi="宋体"/>
          <w:sz w:val="24"/>
        </w:rPr>
        <w:t>最高限价</w:t>
      </w:r>
      <w:r>
        <w:rPr>
          <w:rFonts w:hAnsi="宋体"/>
          <w:sz w:val="24"/>
        </w:rPr>
        <w:t>的为无效响应文件。</w:t>
      </w:r>
    </w:p>
    <w:p w14:paraId="30BD2FD3">
      <w:pPr>
        <w:spacing w:line="360" w:lineRule="auto"/>
        <w:ind w:firstLine="480" w:firstLineChars="200"/>
        <w:jc w:val="left"/>
        <w:rPr>
          <w:sz w:val="24"/>
        </w:rPr>
      </w:pPr>
      <w:r>
        <w:rPr>
          <w:rFonts w:hint="eastAsia"/>
          <w:sz w:val="24"/>
        </w:rPr>
        <w:t>5</w:t>
      </w:r>
      <w:r>
        <w:rPr>
          <w:sz w:val="24"/>
        </w:rPr>
        <w:t>、采购需求：具体详见磋商文件第三部分项目需求。</w:t>
      </w:r>
    </w:p>
    <w:p w14:paraId="5DA476C2">
      <w:pPr>
        <w:spacing w:line="360" w:lineRule="auto"/>
        <w:ind w:firstLine="480" w:firstLineChars="200"/>
        <w:jc w:val="left"/>
        <w:rPr>
          <w:sz w:val="24"/>
        </w:rPr>
      </w:pPr>
      <w:r>
        <w:rPr>
          <w:rFonts w:hint="eastAsia"/>
          <w:sz w:val="24"/>
        </w:rPr>
        <w:t>6</w:t>
      </w:r>
      <w:r>
        <w:rPr>
          <w:sz w:val="24"/>
        </w:rPr>
        <w:t>、合同履行期限：</w:t>
      </w:r>
      <w:r>
        <w:rPr>
          <w:rFonts w:hint="eastAsia" w:ascii="Arial" w:hAnsi="Arial" w:cs="Arial"/>
          <w:sz w:val="24"/>
        </w:rPr>
        <w:t xml:space="preserve">自合同签定之日起 </w:t>
      </w:r>
      <w:r>
        <w:rPr>
          <w:rFonts w:hint="eastAsia" w:ascii="Arial" w:hAnsi="Arial" w:cs="Arial"/>
          <w:sz w:val="24"/>
          <w:lang w:val="en-US" w:eastAsia="zh-CN"/>
        </w:rPr>
        <w:t>8</w:t>
      </w:r>
      <w:r>
        <w:rPr>
          <w:rFonts w:hint="eastAsia" w:ascii="Arial" w:hAnsi="Arial" w:cs="Arial"/>
          <w:sz w:val="24"/>
        </w:rPr>
        <w:t>0个工作日内完成。</w:t>
      </w:r>
    </w:p>
    <w:p w14:paraId="39F16F27">
      <w:pPr>
        <w:spacing w:line="360" w:lineRule="auto"/>
        <w:ind w:firstLine="480" w:firstLineChars="200"/>
        <w:jc w:val="left"/>
        <w:rPr>
          <w:sz w:val="24"/>
        </w:rPr>
      </w:pPr>
      <w:r>
        <w:rPr>
          <w:rFonts w:hint="eastAsia"/>
          <w:sz w:val="24"/>
        </w:rPr>
        <w:t>7</w:t>
      </w:r>
      <w:r>
        <w:rPr>
          <w:sz w:val="24"/>
        </w:rPr>
        <w:t>、本项目不接受联合体。</w:t>
      </w:r>
    </w:p>
    <w:p w14:paraId="1CB8A32F">
      <w:pPr>
        <w:spacing w:line="360" w:lineRule="auto"/>
        <w:ind w:firstLine="480" w:firstLineChars="200"/>
        <w:jc w:val="left"/>
        <w:rPr>
          <w:sz w:val="24"/>
        </w:rPr>
      </w:pPr>
      <w:r>
        <w:rPr>
          <w:sz w:val="24"/>
        </w:rPr>
        <w:t>二、申请人的资格要求：</w:t>
      </w:r>
    </w:p>
    <w:p w14:paraId="7778B5A4">
      <w:pPr>
        <w:spacing w:line="360" w:lineRule="auto"/>
        <w:ind w:firstLine="480" w:firstLineChars="200"/>
        <w:jc w:val="left"/>
        <w:rPr>
          <w:sz w:val="24"/>
        </w:rPr>
      </w:pPr>
      <w:r>
        <w:rPr>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28B70160">
      <w:pPr>
        <w:spacing w:line="360" w:lineRule="auto"/>
        <w:ind w:firstLine="480" w:firstLineChars="200"/>
        <w:jc w:val="left"/>
        <w:rPr>
          <w:sz w:val="24"/>
        </w:rPr>
      </w:pPr>
      <w:r>
        <w:rPr>
          <w:rFonts w:hint="eastAsia"/>
          <w:sz w:val="24"/>
        </w:rPr>
        <w:t>2</w:t>
      </w:r>
      <w:r>
        <w:rPr>
          <w:sz w:val="24"/>
        </w:rPr>
        <w:t>、落实政府采购政策需满足的资格要求：</w:t>
      </w:r>
      <w:r>
        <w:rPr>
          <w:rFonts w:hint="eastAsia"/>
          <w:sz w:val="24"/>
        </w:rPr>
        <w:t>/</w:t>
      </w:r>
      <w:r>
        <w:rPr>
          <w:sz w:val="24"/>
        </w:rPr>
        <w:t>。</w:t>
      </w:r>
    </w:p>
    <w:p w14:paraId="5FE64D4B">
      <w:pPr>
        <w:spacing w:line="360" w:lineRule="auto"/>
        <w:ind w:firstLine="480" w:firstLineChars="200"/>
        <w:jc w:val="left"/>
        <w:rPr>
          <w:sz w:val="24"/>
        </w:rPr>
      </w:pPr>
      <w:bookmarkStart w:id="0" w:name="_GoBack"/>
      <w:r>
        <w:rPr>
          <w:rFonts w:hint="eastAsia"/>
          <w:sz w:val="24"/>
        </w:rPr>
        <w:t>3</w:t>
      </w:r>
      <w:r>
        <w:rPr>
          <w:sz w:val="24"/>
        </w:rPr>
        <w:t>、其他资格要求：</w:t>
      </w:r>
    </w:p>
    <w:bookmarkEnd w:id="0"/>
    <w:p w14:paraId="3866BAFB">
      <w:pPr>
        <w:spacing w:line="360" w:lineRule="auto"/>
        <w:ind w:firstLine="480" w:firstLineChars="200"/>
        <w:jc w:val="left"/>
        <w:rPr>
          <w:sz w:val="24"/>
        </w:rPr>
      </w:pPr>
      <w:r>
        <w:rPr>
          <w:sz w:val="24"/>
        </w:rPr>
        <w:t>（1）未被“信用中国”网站列入失信被执行人、重大税收违法案件当事人名单、政府采购不良行为记录名单；</w:t>
      </w:r>
    </w:p>
    <w:p w14:paraId="7DD52045">
      <w:pPr>
        <w:spacing w:line="360" w:lineRule="auto"/>
        <w:ind w:firstLine="480" w:firstLineChars="200"/>
        <w:jc w:val="left"/>
        <w:rPr>
          <w:sz w:val="24"/>
        </w:rPr>
      </w:pPr>
      <w:r>
        <w:rPr>
          <w:sz w:val="24"/>
        </w:rPr>
        <w:t>（2）单位负责人为同一人或者存在直接控股、管理关系的不同供应商，不得同时参加同一合同项下的投标。</w:t>
      </w:r>
    </w:p>
    <w:p w14:paraId="1A080415">
      <w:pPr>
        <w:spacing w:line="360" w:lineRule="auto"/>
        <w:ind w:firstLine="480" w:firstLineChars="200"/>
        <w:jc w:val="left"/>
        <w:rPr>
          <w:sz w:val="24"/>
        </w:rPr>
      </w:pPr>
      <w:r>
        <w:rPr>
          <w:sz w:val="24"/>
        </w:rPr>
        <w:t>（3）不得将本项目分包或者转让给其他主体实施。</w:t>
      </w:r>
    </w:p>
    <w:p w14:paraId="20A7BB3A">
      <w:pPr>
        <w:spacing w:line="360" w:lineRule="auto"/>
        <w:ind w:firstLine="482" w:firstLineChars="200"/>
        <w:jc w:val="left"/>
        <w:rPr>
          <w:sz w:val="24"/>
        </w:rPr>
      </w:pPr>
      <w:r>
        <w:rPr>
          <w:b/>
          <w:sz w:val="24"/>
        </w:rPr>
        <w:t>三</w:t>
      </w:r>
      <w:r>
        <w:rPr>
          <w:sz w:val="24"/>
        </w:rPr>
        <w:t>、获取采购文件</w:t>
      </w:r>
    </w:p>
    <w:p w14:paraId="29FB1799">
      <w:pPr>
        <w:shd w:val="clear" w:color="auto" w:fill="FFFFFF"/>
        <w:spacing w:line="360" w:lineRule="auto"/>
        <w:ind w:firstLine="480" w:firstLineChars="200"/>
        <w:rPr>
          <w:sz w:val="24"/>
        </w:rPr>
      </w:pPr>
      <w:r>
        <w:rPr>
          <w:sz w:val="24"/>
        </w:rPr>
        <w:t>1、获取时间：</w:t>
      </w:r>
      <w:r>
        <w:rPr>
          <w:kern w:val="0"/>
          <w:sz w:val="24"/>
          <w:u w:val="single"/>
        </w:rPr>
        <w:t>自本磋商公告发布之日起</w:t>
      </w:r>
      <w:r>
        <w:rPr>
          <w:kern w:val="0"/>
          <w:sz w:val="24"/>
        </w:rPr>
        <w:t>。</w:t>
      </w:r>
    </w:p>
    <w:p w14:paraId="0FD72BA3">
      <w:pPr>
        <w:widowControl/>
        <w:spacing w:line="360" w:lineRule="auto"/>
        <w:ind w:firstLine="480" w:firstLineChars="200"/>
        <w:jc w:val="left"/>
        <w:rPr>
          <w:kern w:val="0"/>
          <w:sz w:val="24"/>
        </w:rPr>
      </w:pPr>
      <w:r>
        <w:rPr>
          <w:kern w:val="0"/>
          <w:sz w:val="24"/>
        </w:rPr>
        <w:t>2、获取方式：本项目资格审查采用资格后审方式，无报名环节，供应商直接在</w:t>
      </w:r>
      <w:r>
        <w:rPr>
          <w:rFonts w:hint="eastAsia"/>
          <w:kern w:val="0"/>
          <w:sz w:val="24"/>
          <w:u w:val="single"/>
        </w:rPr>
        <w:t>东南大学南通海洋高等研究院官网</w:t>
      </w:r>
      <w:r>
        <w:rPr>
          <w:kern w:val="0"/>
          <w:sz w:val="24"/>
        </w:rPr>
        <w:t>自行下载磋商文件、答疑等磋商资料。</w:t>
      </w:r>
    </w:p>
    <w:p w14:paraId="6E1CDED4">
      <w:pPr>
        <w:spacing w:line="360" w:lineRule="auto"/>
        <w:ind w:firstLine="480" w:firstLineChars="200"/>
        <w:jc w:val="left"/>
        <w:rPr>
          <w:sz w:val="24"/>
        </w:rPr>
      </w:pPr>
      <w:r>
        <w:rPr>
          <w:sz w:val="24"/>
        </w:rPr>
        <w:t>四、响应文件提交</w:t>
      </w:r>
    </w:p>
    <w:p w14:paraId="65ECB758">
      <w:pPr>
        <w:widowControl/>
        <w:spacing w:line="360" w:lineRule="auto"/>
        <w:ind w:firstLine="480" w:firstLineChars="200"/>
        <w:jc w:val="left"/>
        <w:rPr>
          <w:b/>
          <w:sz w:val="24"/>
          <w:u w:val="single"/>
        </w:rPr>
      </w:pPr>
      <w:r>
        <w:rPr>
          <w:kern w:val="0"/>
          <w:sz w:val="24"/>
        </w:rPr>
        <w:t>1、截止时间：</w:t>
      </w:r>
      <w:r>
        <w:rPr>
          <w:b/>
          <w:sz w:val="24"/>
          <w:u w:val="single"/>
        </w:rPr>
        <w:t>202</w:t>
      </w:r>
      <w:r>
        <w:rPr>
          <w:rFonts w:hint="eastAsia"/>
          <w:b/>
          <w:sz w:val="24"/>
          <w:u w:val="single"/>
          <w:lang w:val="en-US" w:eastAsia="zh-CN"/>
        </w:rPr>
        <w:t>5</w:t>
      </w:r>
      <w:r>
        <w:rPr>
          <w:b/>
          <w:sz w:val="24"/>
          <w:u w:val="single"/>
        </w:rPr>
        <w:t>年</w:t>
      </w:r>
      <w:r>
        <w:rPr>
          <w:rFonts w:hint="eastAsia"/>
          <w:b/>
          <w:sz w:val="24"/>
          <w:u w:val="single"/>
          <w:lang w:val="en-US" w:eastAsia="zh-CN"/>
        </w:rPr>
        <w:t>3</w:t>
      </w:r>
      <w:r>
        <w:rPr>
          <w:b/>
          <w:sz w:val="24"/>
          <w:u w:val="single"/>
        </w:rPr>
        <w:t>月</w:t>
      </w:r>
      <w:r>
        <w:rPr>
          <w:rFonts w:hint="eastAsia"/>
          <w:b/>
          <w:sz w:val="24"/>
          <w:u w:val="single"/>
          <w:lang w:val="en-US" w:eastAsia="zh-CN"/>
        </w:rPr>
        <w:t>10</w:t>
      </w:r>
      <w:r>
        <w:rPr>
          <w:b/>
          <w:sz w:val="24"/>
          <w:u w:val="single"/>
        </w:rPr>
        <w:t>日</w:t>
      </w:r>
      <w:r>
        <w:rPr>
          <w:rFonts w:hint="eastAsia"/>
          <w:b/>
          <w:sz w:val="24"/>
          <w:u w:val="single"/>
          <w:lang w:val="en-US" w:eastAsia="zh-CN"/>
        </w:rPr>
        <w:t>17</w:t>
      </w:r>
      <w:r>
        <w:rPr>
          <w:b/>
          <w:sz w:val="24"/>
          <w:u w:val="single"/>
        </w:rPr>
        <w:t>时</w:t>
      </w:r>
      <w:r>
        <w:rPr>
          <w:rFonts w:hint="eastAsia"/>
          <w:b/>
          <w:sz w:val="24"/>
          <w:u w:val="single"/>
          <w:lang w:val="en-US" w:eastAsia="zh-CN"/>
        </w:rPr>
        <w:t>0</w:t>
      </w:r>
      <w:r>
        <w:rPr>
          <w:rFonts w:hint="eastAsia"/>
          <w:b/>
          <w:sz w:val="24"/>
          <w:u w:val="single"/>
        </w:rPr>
        <w:t>0分</w:t>
      </w:r>
      <w:r>
        <w:rPr>
          <w:sz w:val="24"/>
        </w:rPr>
        <w:t>；</w:t>
      </w:r>
    </w:p>
    <w:p w14:paraId="2DE84CCD">
      <w:pPr>
        <w:widowControl/>
        <w:spacing w:line="360" w:lineRule="auto"/>
        <w:ind w:firstLine="480" w:firstLineChars="200"/>
        <w:jc w:val="left"/>
        <w:rPr>
          <w:kern w:val="0"/>
          <w:sz w:val="24"/>
          <w:u w:val="single"/>
        </w:rPr>
      </w:pPr>
      <w:r>
        <w:rPr>
          <w:kern w:val="0"/>
          <w:sz w:val="24"/>
        </w:rPr>
        <w:t>2、地点：</w:t>
      </w:r>
      <w:r>
        <w:rPr>
          <w:rFonts w:hint="eastAsia"/>
          <w:b/>
          <w:color w:val="auto"/>
          <w:sz w:val="24"/>
          <w:u w:val="single"/>
        </w:rPr>
        <w:t>各潜在</w:t>
      </w:r>
      <w:r>
        <w:rPr>
          <w:rFonts w:hint="eastAsia"/>
          <w:b/>
          <w:color w:val="auto"/>
          <w:sz w:val="24"/>
          <w:u w:val="single"/>
          <w:lang w:val="en-US" w:eastAsia="zh-CN"/>
        </w:rPr>
        <w:t>供应商</w:t>
      </w:r>
      <w:r>
        <w:rPr>
          <w:rFonts w:hint="eastAsia"/>
          <w:b/>
          <w:color w:val="auto"/>
          <w:sz w:val="24"/>
          <w:u w:val="single"/>
        </w:rPr>
        <w:t>须在规定时间</w:t>
      </w:r>
      <w:r>
        <w:rPr>
          <w:rFonts w:hint="eastAsia"/>
          <w:b/>
          <w:sz w:val="24"/>
          <w:u w:val="single"/>
        </w:rPr>
        <w:t>内将投标响应文件邮寄至南通市崇川区桃坞路2号友谊大厦10楼上海申邑工程咨询有限公司，请</w:t>
      </w:r>
      <w:r>
        <w:rPr>
          <w:rFonts w:hint="eastAsia"/>
          <w:b/>
          <w:color w:val="auto"/>
          <w:sz w:val="24"/>
          <w:u w:val="single"/>
        </w:rPr>
        <w:t>各潜在</w:t>
      </w:r>
      <w:r>
        <w:rPr>
          <w:rFonts w:hint="eastAsia"/>
          <w:b/>
          <w:color w:val="auto"/>
          <w:sz w:val="24"/>
          <w:u w:val="single"/>
          <w:lang w:val="en-US" w:eastAsia="zh-CN"/>
        </w:rPr>
        <w:t>供应商</w:t>
      </w:r>
      <w:r>
        <w:rPr>
          <w:rFonts w:hint="eastAsia"/>
          <w:b/>
          <w:color w:val="auto"/>
          <w:sz w:val="24"/>
          <w:u w:val="single"/>
        </w:rPr>
        <w:t>充分</w:t>
      </w:r>
      <w:r>
        <w:rPr>
          <w:rFonts w:hint="eastAsia"/>
          <w:b/>
          <w:sz w:val="24"/>
          <w:u w:val="single"/>
        </w:rPr>
        <w:t>考虑天气、快递速度、路程等因素，合理安排邮寄时间，确保2025年</w:t>
      </w:r>
      <w:r>
        <w:rPr>
          <w:rFonts w:hint="eastAsia"/>
          <w:b/>
          <w:sz w:val="24"/>
          <w:u w:val="single"/>
          <w:lang w:val="en-US" w:eastAsia="zh-CN"/>
        </w:rPr>
        <w:t>3</w:t>
      </w:r>
      <w:r>
        <w:rPr>
          <w:rFonts w:hint="eastAsia"/>
          <w:b/>
          <w:sz w:val="24"/>
          <w:u w:val="single"/>
        </w:rPr>
        <w:t>月</w:t>
      </w:r>
      <w:r>
        <w:rPr>
          <w:rFonts w:hint="eastAsia"/>
          <w:b/>
          <w:sz w:val="24"/>
          <w:u w:val="single"/>
          <w:lang w:val="en-US" w:eastAsia="zh-CN"/>
        </w:rPr>
        <w:t>10</w:t>
      </w:r>
      <w:r>
        <w:rPr>
          <w:rFonts w:hint="eastAsia"/>
          <w:b/>
          <w:sz w:val="24"/>
          <w:u w:val="single"/>
        </w:rPr>
        <w:t>日17：00时前寄到上海申邑工程咨询有限公司，不接受到付。未在规定时间内送达的投标响应文件将不予接收，后果由各潜在投标人自行承担。（地址：南通市崇川区桃坞路2号友谊大厦10楼，联系人：曹杰，联系方式：18012240098）</w:t>
      </w:r>
      <w:r>
        <w:rPr>
          <w:sz w:val="24"/>
        </w:rPr>
        <w:t>；</w:t>
      </w:r>
    </w:p>
    <w:p w14:paraId="2501A0BB">
      <w:pPr>
        <w:widowControl/>
        <w:spacing w:line="360" w:lineRule="auto"/>
        <w:ind w:firstLine="480" w:firstLineChars="200"/>
        <w:jc w:val="left"/>
        <w:rPr>
          <w:kern w:val="0"/>
          <w:sz w:val="24"/>
        </w:rPr>
      </w:pPr>
      <w:r>
        <w:rPr>
          <w:kern w:val="0"/>
          <w:sz w:val="24"/>
        </w:rPr>
        <w:t>3、逾期送达或者未送达指定地点的响应文件，采购人不予受理。</w:t>
      </w:r>
    </w:p>
    <w:p w14:paraId="5613D601">
      <w:pPr>
        <w:spacing w:line="360" w:lineRule="auto"/>
        <w:ind w:firstLine="480" w:firstLineChars="200"/>
        <w:jc w:val="left"/>
        <w:rPr>
          <w:sz w:val="24"/>
        </w:rPr>
      </w:pPr>
      <w:r>
        <w:rPr>
          <w:sz w:val="24"/>
        </w:rPr>
        <w:t>五、开启</w:t>
      </w:r>
    </w:p>
    <w:p w14:paraId="0D214512">
      <w:pPr>
        <w:widowControl/>
        <w:spacing w:line="360" w:lineRule="auto"/>
        <w:ind w:firstLine="480" w:firstLineChars="200"/>
        <w:jc w:val="left"/>
        <w:rPr>
          <w:kern w:val="0"/>
          <w:sz w:val="24"/>
        </w:rPr>
      </w:pPr>
      <w:r>
        <w:rPr>
          <w:kern w:val="0"/>
          <w:sz w:val="24"/>
        </w:rPr>
        <w:t>时间：</w:t>
      </w:r>
      <w:r>
        <w:rPr>
          <w:b/>
          <w:sz w:val="24"/>
          <w:u w:val="single"/>
        </w:rPr>
        <w:t>202</w:t>
      </w:r>
      <w:r>
        <w:rPr>
          <w:rFonts w:hint="eastAsia"/>
          <w:b/>
          <w:sz w:val="24"/>
          <w:u w:val="single"/>
          <w:lang w:val="en-US" w:eastAsia="zh-CN"/>
        </w:rPr>
        <w:t>5</w:t>
      </w:r>
      <w:r>
        <w:rPr>
          <w:b/>
          <w:sz w:val="24"/>
          <w:u w:val="single"/>
        </w:rPr>
        <w:t>年</w:t>
      </w:r>
      <w:r>
        <w:rPr>
          <w:rFonts w:hint="eastAsia"/>
          <w:b/>
          <w:sz w:val="24"/>
          <w:u w:val="single"/>
          <w:lang w:val="en-US" w:eastAsia="zh-CN"/>
        </w:rPr>
        <w:t>3</w:t>
      </w:r>
      <w:r>
        <w:rPr>
          <w:b/>
          <w:sz w:val="24"/>
          <w:u w:val="single"/>
        </w:rPr>
        <w:t>月</w:t>
      </w:r>
      <w:r>
        <w:rPr>
          <w:rFonts w:hint="eastAsia"/>
          <w:b/>
          <w:sz w:val="24"/>
          <w:u w:val="single"/>
          <w:lang w:val="en-US" w:eastAsia="zh-CN"/>
        </w:rPr>
        <w:t>11</w:t>
      </w:r>
      <w:r>
        <w:rPr>
          <w:b/>
          <w:sz w:val="24"/>
          <w:u w:val="single"/>
        </w:rPr>
        <w:t>日</w:t>
      </w:r>
      <w:r>
        <w:rPr>
          <w:rFonts w:hint="eastAsia"/>
          <w:b/>
          <w:sz w:val="24"/>
          <w:u w:val="single"/>
          <w:lang w:val="en-US" w:eastAsia="zh-CN"/>
        </w:rPr>
        <w:t>14</w:t>
      </w:r>
      <w:r>
        <w:rPr>
          <w:b/>
          <w:sz w:val="24"/>
          <w:u w:val="single"/>
        </w:rPr>
        <w:t>时</w:t>
      </w:r>
      <w:r>
        <w:rPr>
          <w:rFonts w:hint="eastAsia"/>
          <w:b/>
          <w:sz w:val="24"/>
          <w:u w:val="single"/>
          <w:lang w:val="en-US" w:eastAsia="zh-CN"/>
        </w:rPr>
        <w:t>0</w:t>
      </w:r>
      <w:r>
        <w:rPr>
          <w:rFonts w:hint="eastAsia"/>
          <w:b/>
          <w:sz w:val="24"/>
          <w:u w:val="single"/>
        </w:rPr>
        <w:t>0分</w:t>
      </w:r>
      <w:r>
        <w:rPr>
          <w:kern w:val="0"/>
          <w:sz w:val="24"/>
        </w:rPr>
        <w:t>；</w:t>
      </w:r>
    </w:p>
    <w:p w14:paraId="130B0561">
      <w:pPr>
        <w:pStyle w:val="31"/>
        <w:shd w:val="clear" w:color="auto" w:fill="FFFFFF"/>
        <w:snapToGrid w:val="0"/>
        <w:spacing w:line="320" w:lineRule="exact"/>
        <w:ind w:firstLine="480" w:firstLineChars="200"/>
        <w:contextualSpacing/>
        <w:rPr>
          <w:rFonts w:hint="eastAsia" w:ascii="Times New Roman" w:hAnsi="Times New Roman" w:cs="Times New Roman"/>
          <w:b/>
          <w:kern w:val="2"/>
          <w:u w:val="single"/>
        </w:rPr>
      </w:pPr>
      <w:r>
        <w:rPr>
          <w:rFonts w:hint="eastAsia" w:ascii="Times New Roman" w:hAnsi="Times New Roman" w:cs="Times New Roman"/>
        </w:rPr>
        <w:t>地点：</w:t>
      </w:r>
      <w:r>
        <w:rPr>
          <w:rFonts w:hint="eastAsia" w:ascii="Times New Roman" w:hAnsi="Times New Roman" w:cs="Times New Roman"/>
          <w:b/>
          <w:kern w:val="2"/>
          <w:u w:val="single"/>
        </w:rPr>
        <w:t>南通市崇川区桃坞路2号友谊大厦10楼。</w:t>
      </w:r>
    </w:p>
    <w:p w14:paraId="17FA0E2A">
      <w:pPr>
        <w:pStyle w:val="31"/>
        <w:shd w:val="clear" w:color="auto" w:fill="FFFFFF"/>
        <w:snapToGrid w:val="0"/>
        <w:spacing w:line="320" w:lineRule="exact"/>
        <w:ind w:firstLine="482" w:firstLineChars="200"/>
        <w:contextualSpacing/>
        <w:rPr>
          <w:color w:val="auto"/>
        </w:rPr>
      </w:pPr>
      <w:r>
        <w:rPr>
          <w:rFonts w:hint="eastAsia" w:ascii="宋体" w:hAnsi="宋体"/>
          <w:b/>
          <w:color w:val="auto"/>
          <w:sz w:val="24"/>
        </w:rPr>
        <w:t>开标事宜：本项目开标过程信息通过腾讯会议发布，各</w:t>
      </w:r>
      <w:r>
        <w:rPr>
          <w:rFonts w:hint="eastAsia"/>
          <w:b/>
          <w:color w:val="auto"/>
          <w:sz w:val="24"/>
          <w:lang w:val="en-US" w:eastAsia="zh-CN"/>
        </w:rPr>
        <w:t>供应商</w:t>
      </w:r>
      <w:r>
        <w:rPr>
          <w:rFonts w:hint="eastAsia" w:ascii="宋体" w:hAnsi="宋体"/>
          <w:b/>
          <w:color w:val="auto"/>
          <w:sz w:val="24"/>
        </w:rPr>
        <w:t>可在202</w:t>
      </w:r>
      <w:r>
        <w:rPr>
          <w:rFonts w:hint="eastAsia" w:ascii="宋体" w:hAnsi="宋体"/>
          <w:b/>
          <w:color w:val="auto"/>
          <w:sz w:val="24"/>
          <w:lang w:val="en-US" w:eastAsia="zh-CN"/>
        </w:rPr>
        <w:t>5</w:t>
      </w:r>
      <w:r>
        <w:rPr>
          <w:rFonts w:hint="eastAsia" w:ascii="宋体" w:hAnsi="宋体"/>
          <w:b/>
          <w:color w:val="auto"/>
          <w:sz w:val="24"/>
        </w:rPr>
        <w:t>年</w:t>
      </w:r>
      <w:r>
        <w:rPr>
          <w:rFonts w:hint="eastAsia"/>
          <w:b/>
          <w:color w:val="auto"/>
          <w:sz w:val="24"/>
          <w:lang w:val="en-US" w:eastAsia="zh-CN"/>
        </w:rPr>
        <w:t>3</w:t>
      </w:r>
      <w:r>
        <w:rPr>
          <w:rFonts w:hint="eastAsia" w:ascii="宋体" w:hAnsi="宋体"/>
          <w:b/>
          <w:color w:val="auto"/>
          <w:sz w:val="24"/>
        </w:rPr>
        <w:t>月</w:t>
      </w:r>
      <w:r>
        <w:rPr>
          <w:rFonts w:hint="eastAsia"/>
          <w:b/>
          <w:color w:val="auto"/>
          <w:sz w:val="24"/>
          <w:lang w:val="en-US" w:eastAsia="zh-CN"/>
        </w:rPr>
        <w:t>11</w:t>
      </w:r>
      <w:r>
        <w:rPr>
          <w:rFonts w:hint="eastAsia" w:ascii="宋体" w:hAnsi="宋体"/>
          <w:b/>
          <w:color w:val="auto"/>
          <w:sz w:val="24"/>
        </w:rPr>
        <w:t>日13时30分-14时加入腾讯会议（腾讯会议：784-279-4181，备注名“单位全称+ 授权委托人姓名”），若</w:t>
      </w:r>
      <w:r>
        <w:rPr>
          <w:rFonts w:hint="eastAsia"/>
          <w:b/>
          <w:color w:val="auto"/>
          <w:sz w:val="24"/>
          <w:lang w:val="en-US" w:eastAsia="zh-CN"/>
        </w:rPr>
        <w:t>供应商</w:t>
      </w:r>
      <w:r>
        <w:rPr>
          <w:rFonts w:hint="eastAsia" w:ascii="宋体" w:hAnsi="宋体"/>
          <w:b/>
          <w:color w:val="auto"/>
          <w:sz w:val="24"/>
        </w:rPr>
        <w:t>未按要求加入腾讯会议，则视为放弃参与开标过程信息交互。</w:t>
      </w:r>
      <w:r>
        <w:rPr>
          <w:rFonts w:hint="eastAsia"/>
          <w:color w:val="auto"/>
        </w:rPr>
        <w:t>如有变动另行通知。</w:t>
      </w:r>
    </w:p>
    <w:p w14:paraId="63595B9D">
      <w:pPr>
        <w:spacing w:line="360" w:lineRule="auto"/>
        <w:ind w:firstLine="480" w:firstLineChars="200"/>
        <w:jc w:val="left"/>
        <w:rPr>
          <w:kern w:val="0"/>
          <w:sz w:val="24"/>
        </w:rPr>
      </w:pPr>
      <w:r>
        <w:rPr>
          <w:bCs/>
          <w:sz w:val="24"/>
        </w:rPr>
        <w:t>六、</w:t>
      </w:r>
      <w:r>
        <w:rPr>
          <w:kern w:val="0"/>
          <w:sz w:val="24"/>
        </w:rPr>
        <w:t>公告期限</w:t>
      </w:r>
    </w:p>
    <w:p w14:paraId="16303260">
      <w:pPr>
        <w:spacing w:line="360" w:lineRule="auto"/>
        <w:ind w:firstLine="480" w:firstLineChars="200"/>
        <w:jc w:val="left"/>
        <w:rPr>
          <w:kern w:val="0"/>
          <w:sz w:val="24"/>
        </w:rPr>
      </w:pPr>
      <w:r>
        <w:rPr>
          <w:kern w:val="0"/>
          <w:sz w:val="24"/>
        </w:rPr>
        <w:t>自本公告发布之日起3个工作日。</w:t>
      </w:r>
    </w:p>
    <w:p w14:paraId="1B304776">
      <w:pPr>
        <w:spacing w:line="360" w:lineRule="auto"/>
        <w:ind w:firstLine="480" w:firstLineChars="200"/>
        <w:jc w:val="left"/>
        <w:rPr>
          <w:bCs/>
          <w:sz w:val="24"/>
        </w:rPr>
      </w:pPr>
      <w:r>
        <w:rPr>
          <w:rFonts w:hint="eastAsia"/>
          <w:bCs/>
          <w:sz w:val="24"/>
        </w:rPr>
        <w:t>七</w:t>
      </w:r>
      <w:r>
        <w:rPr>
          <w:bCs/>
          <w:sz w:val="24"/>
        </w:rPr>
        <w:t>、其他补充事宜</w:t>
      </w:r>
    </w:p>
    <w:p w14:paraId="568CD403">
      <w:pPr>
        <w:spacing w:line="360" w:lineRule="auto"/>
        <w:ind w:firstLine="480" w:firstLineChars="200"/>
        <w:jc w:val="left"/>
        <w:rPr>
          <w:kern w:val="0"/>
          <w:sz w:val="24"/>
        </w:rPr>
      </w:pPr>
      <w:r>
        <w:rPr>
          <w:kern w:val="0"/>
          <w:sz w:val="24"/>
        </w:rPr>
        <w:t>1、保证金：本项目不收取磋商保证金。</w:t>
      </w:r>
    </w:p>
    <w:p w14:paraId="4A33455D">
      <w:pPr>
        <w:spacing w:line="360" w:lineRule="auto"/>
        <w:ind w:firstLine="480" w:firstLineChars="200"/>
        <w:jc w:val="left"/>
        <w:rPr>
          <w:kern w:val="0"/>
          <w:sz w:val="24"/>
        </w:rPr>
      </w:pPr>
      <w:r>
        <w:rPr>
          <w:rFonts w:hint="eastAsia"/>
          <w:kern w:val="0"/>
          <w:sz w:val="24"/>
        </w:rPr>
        <w:t>八</w:t>
      </w:r>
      <w:r>
        <w:rPr>
          <w:kern w:val="0"/>
          <w:sz w:val="24"/>
        </w:rPr>
        <w:t>、凡对本次采购提出询问，请按以下方式联系</w:t>
      </w:r>
    </w:p>
    <w:p w14:paraId="7E30FCF4">
      <w:pPr>
        <w:spacing w:line="360" w:lineRule="auto"/>
        <w:ind w:firstLine="480" w:firstLineChars="200"/>
        <w:jc w:val="left"/>
        <w:rPr>
          <w:kern w:val="0"/>
          <w:sz w:val="24"/>
        </w:rPr>
      </w:pPr>
      <w:r>
        <w:rPr>
          <w:kern w:val="0"/>
          <w:sz w:val="24"/>
        </w:rPr>
        <w:t>1、采购人信息</w:t>
      </w:r>
    </w:p>
    <w:p w14:paraId="3009847A">
      <w:pPr>
        <w:spacing w:line="360" w:lineRule="auto"/>
        <w:ind w:firstLine="480" w:firstLineChars="200"/>
        <w:jc w:val="left"/>
        <w:rPr>
          <w:kern w:val="0"/>
          <w:sz w:val="24"/>
        </w:rPr>
      </w:pPr>
      <w:r>
        <w:rPr>
          <w:kern w:val="0"/>
          <w:sz w:val="24"/>
        </w:rPr>
        <w:t>名称：</w:t>
      </w:r>
      <w:r>
        <w:rPr>
          <w:rFonts w:hint="eastAsia"/>
          <w:kern w:val="0"/>
          <w:sz w:val="24"/>
        </w:rPr>
        <w:t>东南大学南通海洋高等研究院</w:t>
      </w:r>
    </w:p>
    <w:p w14:paraId="0A8801EF">
      <w:pPr>
        <w:spacing w:line="360" w:lineRule="auto"/>
        <w:ind w:firstLine="480" w:firstLineChars="200"/>
        <w:jc w:val="left"/>
        <w:rPr>
          <w:rFonts w:hint="default" w:ascii="宋体" w:hAnsi="宋体" w:eastAsia="宋体" w:cs="宋体"/>
          <w:sz w:val="24"/>
          <w:lang w:val="en-US" w:eastAsia="zh-CN"/>
        </w:rPr>
      </w:pPr>
      <w:r>
        <w:rPr>
          <w:kern w:val="0"/>
          <w:sz w:val="24"/>
        </w:rPr>
        <w:t>联系方式：</w:t>
      </w:r>
      <w:r>
        <w:rPr>
          <w:rFonts w:hint="eastAsia"/>
          <w:kern w:val="0"/>
          <w:sz w:val="24"/>
          <w:lang w:val="en-US" w:eastAsia="zh-CN"/>
        </w:rPr>
        <w:t xml:space="preserve"> 王老师  0513-69991199</w:t>
      </w:r>
    </w:p>
    <w:p w14:paraId="6F48C4B2">
      <w:pPr>
        <w:spacing w:line="360" w:lineRule="auto"/>
        <w:ind w:firstLine="480" w:firstLineChars="200"/>
        <w:jc w:val="left"/>
        <w:rPr>
          <w:kern w:val="0"/>
          <w:sz w:val="24"/>
        </w:rPr>
      </w:pPr>
      <w:r>
        <w:rPr>
          <w:kern w:val="0"/>
          <w:sz w:val="24"/>
        </w:rPr>
        <w:t>2、采购代理机构</w:t>
      </w:r>
    </w:p>
    <w:p w14:paraId="690C7CBC">
      <w:pPr>
        <w:spacing w:line="360" w:lineRule="auto"/>
        <w:ind w:firstLine="480" w:firstLineChars="200"/>
        <w:jc w:val="left"/>
        <w:rPr>
          <w:kern w:val="0"/>
          <w:sz w:val="24"/>
        </w:rPr>
      </w:pPr>
      <w:r>
        <w:rPr>
          <w:kern w:val="0"/>
          <w:sz w:val="24"/>
        </w:rPr>
        <w:t>名称：</w:t>
      </w:r>
      <w:r>
        <w:rPr>
          <w:rFonts w:hint="eastAsia"/>
          <w:kern w:val="0"/>
          <w:sz w:val="24"/>
        </w:rPr>
        <w:t>上海申邑工程咨询有限公司</w:t>
      </w:r>
    </w:p>
    <w:p w14:paraId="2E6462D2">
      <w:pPr>
        <w:spacing w:line="360" w:lineRule="auto"/>
        <w:ind w:firstLine="480" w:firstLineChars="200"/>
        <w:jc w:val="left"/>
        <w:rPr>
          <w:kern w:val="0"/>
          <w:sz w:val="24"/>
        </w:rPr>
      </w:pPr>
      <w:r>
        <w:rPr>
          <w:kern w:val="0"/>
          <w:sz w:val="24"/>
        </w:rPr>
        <w:t>地址：南通市</w:t>
      </w:r>
      <w:r>
        <w:rPr>
          <w:rFonts w:hint="eastAsia"/>
          <w:kern w:val="0"/>
          <w:sz w:val="24"/>
        </w:rPr>
        <w:t>崇川区桃坞路2号友谊大厦10楼</w:t>
      </w:r>
    </w:p>
    <w:p w14:paraId="197D2B5B">
      <w:pPr>
        <w:spacing w:line="360" w:lineRule="auto"/>
        <w:ind w:firstLine="480" w:firstLineChars="200"/>
        <w:jc w:val="left"/>
        <w:rPr>
          <w:kern w:val="0"/>
          <w:sz w:val="24"/>
        </w:rPr>
      </w:pPr>
      <w:r>
        <w:rPr>
          <w:rFonts w:hint="eastAsia"/>
          <w:kern w:val="0"/>
          <w:sz w:val="24"/>
        </w:rPr>
        <w:t>联系方式：曹杰   18012240098</w:t>
      </w:r>
      <w:r>
        <w:rPr>
          <w:kern w:val="0"/>
          <w:sz w:val="24"/>
        </w:rPr>
        <w:t>；</w:t>
      </w:r>
    </w:p>
    <w:p w14:paraId="5948BB95">
      <w:pPr>
        <w:snapToGrid w:val="0"/>
        <w:spacing w:line="300" w:lineRule="auto"/>
        <w:jc w:val="center"/>
        <w:outlineLvl w:val="0"/>
        <w:rPr>
          <w:b/>
          <w:sz w:val="36"/>
          <w:szCs w:val="36"/>
        </w:rPr>
      </w:pPr>
      <w:r>
        <w:rPr>
          <w:sz w:val="24"/>
        </w:rPr>
        <w:br w:type="page"/>
      </w:r>
      <w:r>
        <w:rPr>
          <w:b/>
          <w:sz w:val="36"/>
          <w:szCs w:val="36"/>
        </w:rPr>
        <w:t>第二部分磋商须知</w:t>
      </w:r>
    </w:p>
    <w:p w14:paraId="42882A25">
      <w:pPr>
        <w:snapToGrid w:val="0"/>
        <w:spacing w:line="480" w:lineRule="exact"/>
        <w:ind w:firstLine="482" w:firstLineChars="200"/>
        <w:contextualSpacing/>
        <w:outlineLvl w:val="0"/>
        <w:rPr>
          <w:b/>
          <w:sz w:val="24"/>
        </w:rPr>
      </w:pPr>
      <w:r>
        <w:rPr>
          <w:b/>
          <w:sz w:val="24"/>
        </w:rPr>
        <w:t>一、本磋商文件由采购人或采购代理机构解释。</w:t>
      </w:r>
    </w:p>
    <w:p w14:paraId="29219B4F">
      <w:pPr>
        <w:snapToGrid w:val="0"/>
        <w:spacing w:line="480" w:lineRule="exact"/>
        <w:ind w:firstLine="480" w:firstLineChars="200"/>
        <w:contextualSpacing/>
        <w:rPr>
          <w:b/>
          <w:sz w:val="24"/>
        </w:rPr>
      </w:pPr>
      <w:r>
        <w:rPr>
          <w:sz w:val="24"/>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78633199">
      <w:pPr>
        <w:snapToGrid w:val="0"/>
        <w:spacing w:line="480" w:lineRule="exact"/>
        <w:ind w:firstLine="480" w:firstLineChars="200"/>
        <w:contextualSpacing/>
        <w:rPr>
          <w:sz w:val="24"/>
        </w:rPr>
      </w:pPr>
      <w:r>
        <w:rPr>
          <w:sz w:val="24"/>
        </w:rPr>
        <w:t>2、供应商应认真审阅磋商文件中所有的事项、格式、条款和规范要求等，如果供应商没有按照磋商文件要求提交响应文件，或者响应文件没有对磋商文件做出实质性响应，将被拒绝参与磋商。</w:t>
      </w:r>
    </w:p>
    <w:p w14:paraId="0F8411DD">
      <w:pPr>
        <w:snapToGrid w:val="0"/>
        <w:spacing w:line="480" w:lineRule="exact"/>
        <w:ind w:firstLine="482" w:firstLineChars="200"/>
        <w:contextualSpacing/>
        <w:rPr>
          <w:b/>
          <w:sz w:val="24"/>
        </w:rPr>
      </w:pPr>
      <w:r>
        <w:rPr>
          <w:b/>
          <w:sz w:val="24"/>
        </w:rPr>
        <w:t>二、磋商文件的澄清、修改、答疑</w:t>
      </w:r>
    </w:p>
    <w:p w14:paraId="43F16043">
      <w:pPr>
        <w:pStyle w:val="18"/>
        <w:snapToGrid w:val="0"/>
        <w:spacing w:line="480" w:lineRule="exact"/>
        <w:ind w:left="0" w:leftChars="0" w:firstLine="480" w:firstLineChars="20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2CDC146B">
      <w:pPr>
        <w:pStyle w:val="18"/>
        <w:snapToGrid w:val="0"/>
        <w:spacing w:line="480" w:lineRule="exact"/>
        <w:ind w:left="0" w:leftChars="0" w:firstLine="480" w:firstLineChars="20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14:paraId="10AAD8FF">
      <w:pPr>
        <w:pStyle w:val="18"/>
        <w:snapToGrid w:val="0"/>
        <w:spacing w:line="480" w:lineRule="exact"/>
        <w:ind w:left="0" w:leftChars="0" w:firstLine="480" w:firstLineChars="200"/>
        <w:contextualSpacing/>
        <w:rPr>
          <w:sz w:val="24"/>
        </w:rPr>
      </w:pPr>
      <w:r>
        <w:rPr>
          <w:sz w:val="24"/>
          <w:lang w:val="zh-CN"/>
        </w:rPr>
        <w:t>采购单位可视情组织答疑会。</w:t>
      </w:r>
    </w:p>
    <w:p w14:paraId="5385BE64">
      <w:pPr>
        <w:autoSpaceDE w:val="0"/>
        <w:autoSpaceDN w:val="0"/>
        <w:adjustRightInd w:val="0"/>
        <w:snapToGrid w:val="0"/>
        <w:spacing w:after="120" w:line="480" w:lineRule="exact"/>
        <w:ind w:firstLine="562"/>
        <w:contextualSpacing/>
        <w:rPr>
          <w:b/>
          <w:bCs/>
          <w:sz w:val="24"/>
        </w:rPr>
      </w:pPr>
      <w:r>
        <w:rPr>
          <w:b/>
          <w:bCs/>
          <w:sz w:val="24"/>
          <w:lang w:val="zh-CN"/>
        </w:rPr>
        <w:t>三、响应文件的编写、递交、上传</w:t>
      </w:r>
    </w:p>
    <w:p w14:paraId="58FAAFE0">
      <w:pPr>
        <w:autoSpaceDE w:val="0"/>
        <w:autoSpaceDN w:val="0"/>
        <w:adjustRightInd w:val="0"/>
        <w:snapToGrid w:val="0"/>
        <w:spacing w:line="480" w:lineRule="exact"/>
        <w:ind w:right="210" w:firstLine="560"/>
        <w:rPr>
          <w:b/>
          <w:sz w:val="24"/>
        </w:rPr>
      </w:pPr>
      <w:r>
        <w:rPr>
          <w:b/>
          <w:sz w:val="24"/>
        </w:rPr>
        <w:t>（一）响应文件的编写</w:t>
      </w:r>
    </w:p>
    <w:p w14:paraId="0FDA487A">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14:paraId="7BFECD7B">
      <w:pPr>
        <w:snapToGrid w:val="0"/>
        <w:spacing w:line="480" w:lineRule="exact"/>
        <w:ind w:firstLine="482" w:firstLineChars="200"/>
        <w:contextualSpacing/>
        <w:rPr>
          <w:b/>
          <w:sz w:val="24"/>
        </w:rPr>
      </w:pPr>
      <w:r>
        <w:rPr>
          <w:b/>
          <w:sz w:val="24"/>
        </w:rPr>
        <w:t>（二）响应文件的递交</w:t>
      </w:r>
    </w:p>
    <w:p w14:paraId="47531117">
      <w:pPr>
        <w:snapToGrid w:val="0"/>
        <w:spacing w:line="480" w:lineRule="exact"/>
        <w:ind w:firstLine="480" w:firstLineChars="200"/>
        <w:contextualSpacing/>
        <w:rPr>
          <w:sz w:val="24"/>
        </w:rPr>
      </w:pPr>
      <w:r>
        <w:rPr>
          <w:sz w:val="24"/>
        </w:rPr>
        <w:t>1、响应文件三部分内容（资格审查文件、商务技术文件、报价文件）须分别单独密封，</w:t>
      </w:r>
      <w:r>
        <w:rPr>
          <w:sz w:val="24"/>
          <w:lang w:val="zh-CN"/>
        </w:rPr>
        <w:t>并牢</w:t>
      </w:r>
      <w:r>
        <w:rPr>
          <w:sz w:val="24"/>
        </w:rPr>
        <w:t>固装订成册，不得相互混淆，文件自编目录并连续标注页码，不得将内容拆开。报价文件不得出现于其他磋商文件中。</w:t>
      </w:r>
    </w:p>
    <w:p w14:paraId="7F8560FC">
      <w:pPr>
        <w:snapToGrid w:val="0"/>
        <w:spacing w:line="480" w:lineRule="exact"/>
        <w:ind w:firstLine="480" w:firstLineChars="200"/>
        <w:rPr>
          <w:sz w:val="24"/>
        </w:rPr>
      </w:pPr>
      <w:r>
        <w:rPr>
          <w:sz w:val="24"/>
        </w:rPr>
        <w:t>2、响应文件每一部分内容均须提供“</w:t>
      </w:r>
      <w:r>
        <w:rPr>
          <w:b/>
          <w:sz w:val="24"/>
        </w:rPr>
        <w:t>一正、两副”</w:t>
      </w:r>
      <w:r>
        <w:rPr>
          <w:sz w:val="24"/>
        </w:rPr>
        <w:t>纸质响应文件，并将正本、副本及图纸类等（如需提供图纸等其它资料的话）合并密封，统一装在一个密封袋或密封箱内（如有A3大小的图纸类，可单独密封）。</w:t>
      </w:r>
    </w:p>
    <w:p w14:paraId="3AE1FEA7">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5E7FA703">
      <w:pPr>
        <w:snapToGrid w:val="0"/>
        <w:spacing w:line="480" w:lineRule="exact"/>
        <w:ind w:firstLine="480" w:firstLineChars="200"/>
        <w:contextualSpacing/>
        <w:rPr>
          <w:sz w:val="24"/>
        </w:rPr>
      </w:pPr>
      <w:r>
        <w:rPr>
          <w:sz w:val="24"/>
        </w:rPr>
        <w:t>4、响应文件密封后应标明响应文件项目名称、项目编号、</w:t>
      </w:r>
      <w:r>
        <w:rPr>
          <w:rFonts w:hint="eastAsia"/>
          <w:sz w:val="24"/>
        </w:rPr>
        <w:t>标段名称、</w:t>
      </w:r>
      <w:r>
        <w:rPr>
          <w:sz w:val="24"/>
        </w:rPr>
        <w:t>边缝处加盖单位骑缝章或骑缝签字，并注明于磋商前不得启封。</w:t>
      </w:r>
    </w:p>
    <w:p w14:paraId="22EA62E5">
      <w:pPr>
        <w:snapToGrid w:val="0"/>
        <w:spacing w:line="480" w:lineRule="exact"/>
        <w:ind w:firstLine="480" w:firstLineChars="200"/>
        <w:contextualSpacing/>
        <w:rPr>
          <w:sz w:val="24"/>
        </w:rPr>
      </w:pPr>
      <w:r>
        <w:rPr>
          <w:sz w:val="24"/>
        </w:rPr>
        <w:t>5、递交时间：供应商须在规定的响应文件接收截止时间前送达指定地点。供应商递交磋商文件，即视为已响应参加政府采购活动。</w:t>
      </w:r>
    </w:p>
    <w:p w14:paraId="6B7E4FB8">
      <w:pPr>
        <w:snapToGrid w:val="0"/>
        <w:spacing w:line="480" w:lineRule="exact"/>
        <w:ind w:firstLine="482" w:firstLineChars="200"/>
        <w:contextualSpacing/>
        <w:rPr>
          <w:b/>
          <w:sz w:val="24"/>
        </w:rPr>
      </w:pPr>
      <w:r>
        <w:rPr>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14:paraId="3578CFED">
      <w:pPr>
        <w:snapToGrid w:val="0"/>
        <w:spacing w:line="460" w:lineRule="exact"/>
        <w:ind w:firstLine="482" w:firstLineChars="200"/>
        <w:outlineLvl w:val="1"/>
        <w:rPr>
          <w:rFonts w:ascii="宋体" w:hAnsi="宋体" w:cs="宋体"/>
          <w:b/>
          <w:bCs/>
          <w:sz w:val="24"/>
        </w:rPr>
      </w:pPr>
      <w:r>
        <w:rPr>
          <w:rFonts w:hint="eastAsia" w:ascii="宋体" w:hAnsi="宋体" w:cs="宋体"/>
          <w:b/>
          <w:bCs/>
          <w:sz w:val="24"/>
        </w:rPr>
        <w:t>四、投标文件的有效期</w:t>
      </w:r>
    </w:p>
    <w:p w14:paraId="1AF44BA9">
      <w:pPr>
        <w:snapToGrid w:val="0"/>
        <w:spacing w:line="460" w:lineRule="exact"/>
        <w:ind w:firstLine="480" w:firstLineChars="200"/>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45</w:t>
      </w:r>
      <w:r>
        <w:rPr>
          <w:rFonts w:hint="eastAsia" w:ascii="宋体" w:hAnsi="宋体" w:cs="宋体"/>
          <w:sz w:val="24"/>
        </w:rPr>
        <w:t>个“日历天”内投标书应保持有效。有效期短于这个规定期限的，投标将被拒绝。</w:t>
      </w:r>
    </w:p>
    <w:p w14:paraId="65A036BC">
      <w:pPr>
        <w:snapToGrid w:val="0"/>
        <w:spacing w:line="460" w:lineRule="exact"/>
        <w:ind w:firstLine="470" w:firstLineChars="196"/>
        <w:outlineLvl w:val="1"/>
        <w:rPr>
          <w:rFonts w:ascii="宋体" w:hAnsi="宋体" w:cs="宋体"/>
          <w:b/>
          <w:sz w:val="24"/>
        </w:rPr>
      </w:pPr>
      <w:r>
        <w:rPr>
          <w:rFonts w:hint="eastAsia" w:ascii="宋体" w:hAnsi="宋体" w:cs="宋体"/>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6B2A9878">
      <w:pPr>
        <w:snapToGrid w:val="0"/>
        <w:spacing w:line="480" w:lineRule="exact"/>
        <w:ind w:firstLine="602" w:firstLineChars="250"/>
        <w:contextualSpacing/>
        <w:rPr>
          <w:b/>
          <w:sz w:val="24"/>
        </w:rPr>
      </w:pPr>
      <w:r>
        <w:rPr>
          <w:rFonts w:hint="eastAsia"/>
          <w:b/>
          <w:sz w:val="24"/>
        </w:rPr>
        <w:t>五</w:t>
      </w:r>
      <w:r>
        <w:rPr>
          <w:b/>
          <w:sz w:val="24"/>
        </w:rPr>
        <w:t>、报价准备</w:t>
      </w:r>
    </w:p>
    <w:p w14:paraId="072C3819">
      <w:pPr>
        <w:pStyle w:val="85"/>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1、磋商结束后，供应商就所有内容进行最后报价，少报无效。</w:t>
      </w:r>
    </w:p>
    <w:p w14:paraId="275AC554">
      <w:pPr>
        <w:pStyle w:val="85"/>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2、最后报价应包括响应本项目采购要求的全部费用，</w:t>
      </w:r>
      <w:r>
        <w:rPr>
          <w:sz w:val="24"/>
        </w:rPr>
        <w:t>包括但不限于</w:t>
      </w:r>
      <w:r>
        <w:rPr>
          <w:rFonts w:hint="eastAsia"/>
          <w:b/>
          <w:bCs/>
          <w:sz w:val="24"/>
        </w:rPr>
        <w:t>项目需求提供的可能涉及到的产品及其备品、备件和专用工具费用、税费（如关税、货物及其所用原材料、零部件的各种国内外税费）及包装、运至最终目的地的运输、保险、检测验收、安装、调试、技术支持与培训、售后服务与维保、其他费用（含售后培训、产品维护等）及相关劳务支出等工作所发生的全部费用以及供应商企业利润、税金和政策性文件规定及合同包含的所有风险、责任等各项应有费用，即标的物交付使用前的所有费用以及免保期内的服务费用等包含响应招标文件采购要求的所有各项应有费用</w:t>
      </w:r>
      <w:r>
        <w:rPr>
          <w:rFonts w:hint="eastAsia" w:ascii="Times New Roman" w:hAnsi="Times New Roman" w:eastAsia="宋体"/>
          <w:sz w:val="24"/>
          <w:szCs w:val="24"/>
        </w:rPr>
        <w:t>。</w:t>
      </w:r>
    </w:p>
    <w:p w14:paraId="2558B583">
      <w:pPr>
        <w:pStyle w:val="85"/>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3、最后报价将作为磋商小组评定成交供应商的组成依据。</w:t>
      </w:r>
    </w:p>
    <w:p w14:paraId="4FC92724">
      <w:pPr>
        <w:snapToGrid w:val="0"/>
        <w:spacing w:line="480" w:lineRule="exact"/>
        <w:ind w:firstLine="482" w:firstLineChars="200"/>
        <w:rPr>
          <w:b/>
          <w:bCs/>
          <w:sz w:val="24"/>
        </w:rPr>
      </w:pPr>
      <w:r>
        <w:rPr>
          <w:rFonts w:hint="eastAsia"/>
          <w:b/>
          <w:sz w:val="24"/>
          <w:lang w:val="zh-CN"/>
        </w:rPr>
        <w:t>六</w:t>
      </w:r>
      <w:r>
        <w:rPr>
          <w:b/>
          <w:sz w:val="24"/>
          <w:lang w:val="zh-CN"/>
        </w:rPr>
        <w:t>、</w:t>
      </w:r>
      <w:r>
        <w:rPr>
          <w:b/>
          <w:bCs/>
          <w:sz w:val="24"/>
        </w:rPr>
        <w:t>相关费用</w:t>
      </w:r>
    </w:p>
    <w:p w14:paraId="581EA2FB">
      <w:pPr>
        <w:spacing w:line="360" w:lineRule="auto"/>
        <w:ind w:firstLine="480" w:firstLineChars="200"/>
        <w:jc w:val="left"/>
        <w:rPr>
          <w:sz w:val="24"/>
        </w:rPr>
      </w:pPr>
      <w:r>
        <w:rPr>
          <w:sz w:val="24"/>
        </w:rPr>
        <w:t>1、供应商应承担其编制响应文件以及递交响应文件所涉及的一切费用。</w:t>
      </w:r>
    </w:p>
    <w:p w14:paraId="4EDAEB88">
      <w:pPr>
        <w:spacing w:line="360" w:lineRule="auto"/>
        <w:ind w:firstLine="480" w:firstLineChars="200"/>
        <w:jc w:val="left"/>
        <w:rPr>
          <w:sz w:val="24"/>
        </w:rPr>
      </w:pPr>
      <w:r>
        <w:rPr>
          <w:rFonts w:hint="eastAsia"/>
          <w:sz w:val="24"/>
        </w:rPr>
        <w:t>2、响应磋商的供应商自行考虑包含在磋商报价内的该项费用及风险并将其综合在单价内，不得单列。</w:t>
      </w:r>
    </w:p>
    <w:p w14:paraId="274C89EA">
      <w:pPr>
        <w:spacing w:line="360" w:lineRule="auto"/>
        <w:ind w:firstLine="480" w:firstLineChars="200"/>
        <w:jc w:val="left"/>
        <w:rPr>
          <w:bCs/>
          <w:sz w:val="24"/>
        </w:rPr>
      </w:pPr>
      <w:r>
        <w:rPr>
          <w:rFonts w:hint="eastAsia"/>
          <w:bCs/>
          <w:sz w:val="24"/>
        </w:rPr>
        <w:t>3、本项目招标代理服务费由成交单位在评标结束时向招标代理一次性支付，招标代理服务费计取标准：参照国家计划委员会下发的《招标代理服务收费管理暂行办法》（计价格【2002】1980号文），按合同总价作为计费基础。</w:t>
      </w:r>
    </w:p>
    <w:p w14:paraId="1704AD2E">
      <w:pPr>
        <w:spacing w:line="360" w:lineRule="auto"/>
        <w:ind w:firstLine="480" w:firstLineChars="200"/>
        <w:jc w:val="left"/>
        <w:rPr>
          <w:bCs/>
          <w:sz w:val="24"/>
        </w:rPr>
      </w:pPr>
      <w:r>
        <w:rPr>
          <w:rFonts w:hint="eastAsia"/>
          <w:bCs/>
          <w:sz w:val="24"/>
        </w:rPr>
        <w:t xml:space="preserve">4、评审费：按实收取。  </w:t>
      </w:r>
    </w:p>
    <w:p w14:paraId="7434CD8D">
      <w:pPr>
        <w:snapToGrid w:val="0"/>
        <w:spacing w:line="480" w:lineRule="exact"/>
        <w:ind w:firstLine="482" w:firstLineChars="200"/>
        <w:contextualSpacing/>
        <w:rPr>
          <w:b/>
          <w:sz w:val="24"/>
        </w:rPr>
      </w:pPr>
      <w:r>
        <w:rPr>
          <w:rFonts w:hint="eastAsia"/>
          <w:b/>
          <w:bCs/>
          <w:sz w:val="24"/>
        </w:rPr>
        <w:t>七</w:t>
      </w:r>
      <w:r>
        <w:rPr>
          <w:b/>
          <w:bCs/>
          <w:sz w:val="24"/>
        </w:rPr>
        <w:t>、</w:t>
      </w:r>
      <w:r>
        <w:rPr>
          <w:b/>
          <w:sz w:val="24"/>
        </w:rPr>
        <w:t>竞争性磋商程序简介</w:t>
      </w:r>
    </w:p>
    <w:p w14:paraId="363191E2">
      <w:pPr>
        <w:snapToGrid w:val="0"/>
        <w:spacing w:line="480" w:lineRule="exact"/>
        <w:ind w:firstLine="482" w:firstLineChars="200"/>
        <w:contextualSpacing/>
        <w:rPr>
          <w:sz w:val="24"/>
        </w:rPr>
      </w:pPr>
      <w:r>
        <w:rPr>
          <w:b/>
          <w:sz w:val="24"/>
        </w:rPr>
        <w:t>采购代理机构先对资格审查文件进行拆封，磋商小组审查响应供应商资格，</w:t>
      </w:r>
      <w:r>
        <w:rPr>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sz w:val="24"/>
        </w:rPr>
        <w:t>依据评审方法推荐成交候选人</w:t>
      </w:r>
      <w:r>
        <w:rPr>
          <w:sz w:val="24"/>
        </w:rPr>
        <w:t>。</w:t>
      </w:r>
    </w:p>
    <w:p w14:paraId="6C61734C">
      <w:pPr>
        <w:autoSpaceDE w:val="0"/>
        <w:autoSpaceDN w:val="0"/>
        <w:adjustRightInd w:val="0"/>
        <w:snapToGrid w:val="0"/>
        <w:spacing w:line="480" w:lineRule="exact"/>
        <w:ind w:right="210" w:firstLine="472" w:firstLineChars="196"/>
        <w:contextualSpacing/>
        <w:rPr>
          <w:b/>
          <w:bCs/>
          <w:sz w:val="24"/>
        </w:rPr>
      </w:pPr>
      <w:r>
        <w:rPr>
          <w:rFonts w:hint="eastAsia"/>
          <w:b/>
          <w:bCs/>
          <w:sz w:val="24"/>
        </w:rPr>
        <w:t>八</w:t>
      </w:r>
      <w:r>
        <w:rPr>
          <w:b/>
          <w:bCs/>
          <w:sz w:val="24"/>
        </w:rPr>
        <w:t>、相关提示</w:t>
      </w:r>
    </w:p>
    <w:p w14:paraId="6BBE3608">
      <w:pPr>
        <w:snapToGrid w:val="0"/>
        <w:spacing w:line="480" w:lineRule="exact"/>
        <w:ind w:firstLine="480" w:firstLineChars="200"/>
        <w:contextualSpacing/>
        <w:rPr>
          <w:bCs/>
          <w:sz w:val="24"/>
        </w:rPr>
      </w:pPr>
      <w:r>
        <w:rPr>
          <w:bCs/>
          <w:sz w:val="24"/>
        </w:rPr>
        <w:t>商务技术部分评审结束后进入最后报价环节，最后报价将作为评审价。采购代理机构发出最后报价填报通知后，所有的响应供应商须在</w:t>
      </w:r>
      <w:r>
        <w:rPr>
          <w:rFonts w:hint="eastAsia"/>
          <w:bCs/>
          <w:sz w:val="24"/>
        </w:rPr>
        <w:t>规定时间</w:t>
      </w:r>
      <w:r>
        <w:rPr>
          <w:bCs/>
          <w:sz w:val="24"/>
        </w:rPr>
        <w:t>内填写并提交最后报价，未在规定时间内提交最后报价的，视作无效响应处理。</w:t>
      </w:r>
    </w:p>
    <w:p w14:paraId="10D90BF1">
      <w:pPr>
        <w:snapToGrid w:val="0"/>
        <w:spacing w:line="360" w:lineRule="auto"/>
        <w:ind w:firstLine="482" w:firstLineChars="200"/>
        <w:jc w:val="left"/>
        <w:rPr>
          <w:b/>
          <w:sz w:val="24"/>
        </w:rPr>
      </w:pPr>
    </w:p>
    <w:p w14:paraId="4CBD6E14">
      <w:pPr>
        <w:snapToGrid w:val="0"/>
        <w:spacing w:line="300" w:lineRule="auto"/>
        <w:jc w:val="center"/>
        <w:outlineLvl w:val="0"/>
        <w:rPr>
          <w:b/>
          <w:sz w:val="36"/>
          <w:szCs w:val="36"/>
        </w:rPr>
      </w:pPr>
    </w:p>
    <w:p w14:paraId="12F41889">
      <w:pPr>
        <w:snapToGrid w:val="0"/>
        <w:spacing w:line="300" w:lineRule="auto"/>
        <w:jc w:val="center"/>
        <w:outlineLvl w:val="0"/>
        <w:rPr>
          <w:b/>
          <w:sz w:val="36"/>
          <w:szCs w:val="36"/>
        </w:rPr>
      </w:pPr>
    </w:p>
    <w:p w14:paraId="190C03A2">
      <w:pPr>
        <w:snapToGrid w:val="0"/>
        <w:spacing w:line="300" w:lineRule="auto"/>
        <w:jc w:val="center"/>
        <w:outlineLvl w:val="0"/>
        <w:rPr>
          <w:b/>
          <w:sz w:val="36"/>
          <w:szCs w:val="36"/>
        </w:rPr>
      </w:pPr>
    </w:p>
    <w:p w14:paraId="286AE286">
      <w:pPr>
        <w:snapToGrid w:val="0"/>
        <w:spacing w:line="300" w:lineRule="auto"/>
        <w:jc w:val="center"/>
        <w:outlineLvl w:val="0"/>
        <w:rPr>
          <w:b/>
          <w:sz w:val="36"/>
          <w:szCs w:val="36"/>
        </w:rPr>
      </w:pPr>
    </w:p>
    <w:p w14:paraId="6EA667A2">
      <w:pPr>
        <w:snapToGrid w:val="0"/>
        <w:spacing w:line="300" w:lineRule="auto"/>
        <w:jc w:val="center"/>
        <w:outlineLvl w:val="0"/>
        <w:rPr>
          <w:b/>
          <w:sz w:val="36"/>
          <w:szCs w:val="36"/>
        </w:rPr>
      </w:pPr>
    </w:p>
    <w:p w14:paraId="3360E622">
      <w:pPr>
        <w:pStyle w:val="34"/>
        <w:ind w:firstLine="361"/>
        <w:rPr>
          <w:b/>
          <w:sz w:val="36"/>
          <w:szCs w:val="36"/>
        </w:rPr>
      </w:pPr>
    </w:p>
    <w:p w14:paraId="5CEC1653">
      <w:pPr>
        <w:pStyle w:val="34"/>
        <w:ind w:firstLine="361"/>
        <w:rPr>
          <w:b/>
          <w:sz w:val="36"/>
          <w:szCs w:val="36"/>
        </w:rPr>
      </w:pPr>
    </w:p>
    <w:p w14:paraId="78AE4B4C">
      <w:pPr>
        <w:snapToGrid w:val="0"/>
        <w:spacing w:line="300" w:lineRule="auto"/>
        <w:jc w:val="center"/>
        <w:outlineLvl w:val="0"/>
        <w:rPr>
          <w:b/>
          <w:sz w:val="36"/>
          <w:szCs w:val="36"/>
        </w:rPr>
      </w:pPr>
    </w:p>
    <w:p w14:paraId="5B254A93">
      <w:pPr>
        <w:pStyle w:val="26"/>
        <w:rPr>
          <w:b/>
          <w:sz w:val="36"/>
          <w:szCs w:val="36"/>
        </w:rPr>
      </w:pPr>
    </w:p>
    <w:p w14:paraId="5F1F378F">
      <w:pPr>
        <w:snapToGrid w:val="0"/>
        <w:spacing w:line="300" w:lineRule="auto"/>
        <w:outlineLvl w:val="0"/>
        <w:rPr>
          <w:b/>
          <w:sz w:val="36"/>
          <w:szCs w:val="36"/>
        </w:rPr>
      </w:pPr>
    </w:p>
    <w:p w14:paraId="6EFB66D4">
      <w:pPr>
        <w:rPr>
          <w:b/>
          <w:sz w:val="36"/>
          <w:szCs w:val="36"/>
        </w:rPr>
      </w:pPr>
      <w:r>
        <w:rPr>
          <w:b/>
          <w:sz w:val="36"/>
          <w:szCs w:val="36"/>
        </w:rPr>
        <w:br w:type="page"/>
      </w:r>
    </w:p>
    <w:p w14:paraId="7EC560BC">
      <w:pPr>
        <w:snapToGrid w:val="0"/>
        <w:spacing w:line="300" w:lineRule="auto"/>
        <w:jc w:val="center"/>
        <w:outlineLvl w:val="0"/>
        <w:rPr>
          <w:b/>
          <w:sz w:val="36"/>
          <w:szCs w:val="36"/>
        </w:rPr>
      </w:pPr>
      <w:r>
        <w:rPr>
          <w:b/>
          <w:sz w:val="36"/>
          <w:szCs w:val="36"/>
        </w:rPr>
        <w:t>第三部分</w:t>
      </w:r>
      <w:r>
        <w:rPr>
          <w:rFonts w:hint="eastAsia"/>
          <w:b/>
          <w:sz w:val="36"/>
          <w:szCs w:val="36"/>
        </w:rPr>
        <w:t xml:space="preserve"> </w:t>
      </w:r>
      <w:r>
        <w:rPr>
          <w:b/>
          <w:sz w:val="36"/>
          <w:szCs w:val="36"/>
        </w:rPr>
        <w:t>项目需求说明</w:t>
      </w:r>
    </w:p>
    <w:p w14:paraId="4CE78ACF">
      <w:pPr>
        <w:pStyle w:val="85"/>
        <w:snapToGrid w:val="0"/>
        <w:spacing w:line="480" w:lineRule="exact"/>
        <w:ind w:firstLine="482" w:firstLineChars="200"/>
        <w:rPr>
          <w:rFonts w:ascii="Times New Roman" w:hAnsi="Times New Roman" w:eastAsia="宋体"/>
          <w:sz w:val="24"/>
          <w:szCs w:val="24"/>
        </w:rPr>
      </w:pPr>
      <w:r>
        <w:rPr>
          <w:rFonts w:ascii="Times New Roman" w:hAnsi="Times New Roman" w:eastAsia="宋体"/>
          <w:b/>
          <w:kern w:val="0"/>
          <w:sz w:val="24"/>
          <w:szCs w:val="24"/>
          <w:lang w:val="zh-CN"/>
        </w:rPr>
        <w:t>请供应商在网上报名前和制作相应文件时仔细研究项目需求说明。</w:t>
      </w:r>
      <w:r>
        <w:rPr>
          <w:rFonts w:ascii="Times New Roman" w:hAnsi="Times New Roman" w:eastAsia="宋体"/>
          <w:kern w:val="0"/>
          <w:sz w:val="24"/>
          <w:szCs w:val="24"/>
          <w:lang w:val="zh-CN"/>
        </w:rPr>
        <w:t>供应商不能简单照搬照抄采购单位项目需求说明中的技术、商务要求，必须作实事求是的响应。如照搬照抄项目需求说明中的技术、商务要求的，成交供应商在同采购单位签订合同和履约环节中不得提出异议，一切后果和损失由成交供应商承担。如供应商提供的货物和服务同采购单位提出的项目需求说明中的技术、商务要求不同的，必须在《商</w:t>
      </w:r>
      <w:r>
        <w:rPr>
          <w:rFonts w:ascii="Times New Roman" w:hAnsi="Times New Roman" w:eastAsia="宋体"/>
          <w:sz w:val="24"/>
          <w:szCs w:val="24"/>
        </w:rPr>
        <w:t>务部分正负偏离表》和《技术部分正负偏离表》上明示，如不明示的视同完全响应</w:t>
      </w:r>
      <w:r>
        <w:rPr>
          <w:rFonts w:ascii="Times New Roman" w:hAnsi="Times New Roman" w:eastAsia="宋体"/>
          <w:kern w:val="0"/>
          <w:sz w:val="24"/>
          <w:szCs w:val="24"/>
          <w:lang w:val="zh-CN"/>
        </w:rPr>
        <w:t>。</w:t>
      </w:r>
    </w:p>
    <w:p w14:paraId="635BBFCE">
      <w:pPr>
        <w:snapToGrid w:val="0"/>
        <w:spacing w:line="480" w:lineRule="exact"/>
        <w:ind w:firstLine="482" w:firstLineChars="200"/>
        <w:rPr>
          <w:b/>
          <w:sz w:val="24"/>
        </w:rPr>
      </w:pPr>
      <w:r>
        <w:rPr>
          <w:b/>
          <w:sz w:val="24"/>
        </w:rPr>
        <w:t>一、有关要求说明</w:t>
      </w:r>
    </w:p>
    <w:p w14:paraId="68E47266">
      <w:pPr>
        <w:widowControl/>
        <w:adjustRightInd w:val="0"/>
        <w:snapToGrid w:val="0"/>
        <w:spacing w:line="480" w:lineRule="exact"/>
        <w:ind w:firstLine="482" w:firstLineChars="200"/>
        <w:jc w:val="left"/>
        <w:rPr>
          <w:kern w:val="0"/>
          <w:sz w:val="24"/>
          <w:lang w:val="zh-CN"/>
        </w:rPr>
      </w:pPr>
      <w:r>
        <w:rPr>
          <w:rFonts w:hint="eastAsia"/>
          <w:b/>
          <w:sz w:val="24"/>
        </w:rPr>
        <w:t>1、</w:t>
      </w:r>
      <w:r>
        <w:rPr>
          <w:b/>
          <w:sz w:val="24"/>
          <w:lang w:val="zh-CN"/>
        </w:rPr>
        <w:t>主要技术</w:t>
      </w:r>
      <w:r>
        <w:rPr>
          <w:rFonts w:hint="eastAsia"/>
          <w:b/>
          <w:sz w:val="24"/>
          <w:lang w:val="zh-CN"/>
        </w:rPr>
        <w:t>指标</w:t>
      </w:r>
      <w:r>
        <w:rPr>
          <w:b/>
          <w:sz w:val="24"/>
          <w:lang w:val="zh-CN"/>
        </w:rPr>
        <w:t>：</w:t>
      </w:r>
    </w:p>
    <w:tbl>
      <w:tblPr>
        <w:tblStyle w:val="36"/>
        <w:tblpPr w:leftFromText="180" w:rightFromText="180" w:vertAnchor="text" w:horzAnchor="page" w:tblpX="1612" w:tblpY="631"/>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345"/>
      </w:tblGrid>
      <w:tr w14:paraId="67F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2"/>
            <w:shd w:val="clear" w:color="auto" w:fill="auto"/>
            <w:vAlign w:val="center"/>
          </w:tcPr>
          <w:p w14:paraId="63864BD0">
            <w:pPr>
              <w:pStyle w:val="8"/>
              <w:ind w:firstLine="0"/>
              <w:jc w:val="center"/>
              <w:rPr>
                <w:color w:val="333333"/>
                <w:kern w:val="0"/>
                <w:sz w:val="24"/>
                <w:szCs w:val="24"/>
              </w:rPr>
            </w:pPr>
            <w:r>
              <w:rPr>
                <w:color w:val="333333"/>
                <w:kern w:val="0"/>
                <w:sz w:val="24"/>
                <w:szCs w:val="24"/>
              </w:rPr>
              <w:t>技术指标</w:t>
            </w:r>
          </w:p>
        </w:tc>
      </w:tr>
      <w:tr w14:paraId="601B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20448BA4">
            <w:pPr>
              <w:pStyle w:val="8"/>
              <w:ind w:firstLine="0"/>
              <w:rPr>
                <w:rFonts w:hint="eastAsia" w:eastAsia="宋体"/>
                <w:color w:val="333333"/>
                <w:kern w:val="0"/>
                <w:sz w:val="24"/>
                <w:szCs w:val="24"/>
                <w:lang w:val="en-US" w:eastAsia="zh-CN"/>
              </w:rPr>
            </w:pPr>
            <w:r>
              <w:rPr>
                <w:rFonts w:hint="eastAsia"/>
                <w:color w:val="333333"/>
                <w:kern w:val="0"/>
                <w:sz w:val="24"/>
                <w:szCs w:val="24"/>
                <w:lang w:val="en-US" w:eastAsia="zh-CN"/>
              </w:rPr>
              <w:t>数量</w:t>
            </w:r>
          </w:p>
        </w:tc>
        <w:tc>
          <w:tcPr>
            <w:tcW w:w="6345" w:type="dxa"/>
            <w:shd w:val="clear" w:color="auto" w:fill="auto"/>
            <w:vAlign w:val="center"/>
          </w:tcPr>
          <w:p w14:paraId="19C097C3">
            <w:pPr>
              <w:pStyle w:val="8"/>
              <w:spacing w:line="240" w:lineRule="exact"/>
              <w:ind w:firstLine="0"/>
              <w:rPr>
                <w:rFonts w:hint="default" w:eastAsia="宋体"/>
                <w:color w:val="333333"/>
                <w:kern w:val="0"/>
                <w:szCs w:val="21"/>
                <w:lang w:val="en-US" w:eastAsia="zh-CN"/>
              </w:rPr>
            </w:pPr>
            <w:r>
              <w:rPr>
                <w:rFonts w:hint="eastAsia"/>
                <w:color w:val="333333"/>
                <w:kern w:val="0"/>
                <w:szCs w:val="21"/>
                <w:lang w:val="en-US" w:eastAsia="zh-CN"/>
              </w:rPr>
              <w:t>1台</w:t>
            </w:r>
          </w:p>
        </w:tc>
      </w:tr>
      <w:tr w14:paraId="5A38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24B769AE">
            <w:pPr>
              <w:pStyle w:val="8"/>
              <w:ind w:firstLine="0"/>
              <w:rPr>
                <w:color w:val="333333"/>
                <w:kern w:val="0"/>
                <w:sz w:val="24"/>
                <w:szCs w:val="24"/>
              </w:rPr>
            </w:pPr>
            <w:r>
              <w:rPr>
                <w:rFonts w:hint="eastAsia"/>
                <w:color w:val="333333"/>
                <w:kern w:val="0"/>
                <w:sz w:val="24"/>
                <w:szCs w:val="24"/>
              </w:rPr>
              <w:t>适用材料</w:t>
            </w:r>
          </w:p>
        </w:tc>
        <w:tc>
          <w:tcPr>
            <w:tcW w:w="6345" w:type="dxa"/>
            <w:shd w:val="clear" w:color="auto" w:fill="auto"/>
            <w:vAlign w:val="center"/>
          </w:tcPr>
          <w:p w14:paraId="0C4F70A8">
            <w:pPr>
              <w:pStyle w:val="8"/>
              <w:spacing w:line="240" w:lineRule="exact"/>
              <w:ind w:firstLine="0"/>
              <w:rPr>
                <w:color w:val="333333"/>
                <w:kern w:val="0"/>
                <w:szCs w:val="21"/>
              </w:rPr>
            </w:pPr>
            <w:r>
              <w:rPr>
                <w:rFonts w:hint="eastAsia"/>
                <w:color w:val="333333"/>
                <w:kern w:val="0"/>
                <w:szCs w:val="21"/>
              </w:rPr>
              <w:t>PE、PP、PET、PTFE、PVDF等</w:t>
            </w:r>
          </w:p>
        </w:tc>
      </w:tr>
      <w:tr w14:paraId="6562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3897F63B">
            <w:pPr>
              <w:pStyle w:val="8"/>
              <w:ind w:firstLine="0"/>
              <w:rPr>
                <w:color w:val="333333"/>
                <w:kern w:val="0"/>
                <w:sz w:val="24"/>
                <w:szCs w:val="24"/>
              </w:rPr>
            </w:pPr>
            <w:r>
              <w:rPr>
                <w:rFonts w:hint="eastAsia"/>
                <w:color w:val="333333"/>
                <w:kern w:val="0"/>
                <w:sz w:val="24"/>
                <w:szCs w:val="24"/>
              </w:rPr>
              <w:t>样片厚度</w:t>
            </w:r>
          </w:p>
        </w:tc>
        <w:tc>
          <w:tcPr>
            <w:tcW w:w="6345" w:type="dxa"/>
            <w:shd w:val="clear" w:color="auto" w:fill="auto"/>
            <w:vAlign w:val="center"/>
          </w:tcPr>
          <w:p w14:paraId="123A9BC9">
            <w:pPr>
              <w:pStyle w:val="8"/>
              <w:spacing w:line="240" w:lineRule="exact"/>
              <w:ind w:firstLine="0"/>
              <w:rPr>
                <w:color w:val="333333"/>
                <w:kern w:val="0"/>
                <w:szCs w:val="21"/>
              </w:rPr>
            </w:pPr>
            <w:r>
              <w:rPr>
                <w:rFonts w:hint="eastAsia"/>
                <w:color w:val="333333"/>
                <w:kern w:val="0"/>
                <w:szCs w:val="21"/>
              </w:rPr>
              <w:t>0.02-3mm</w:t>
            </w:r>
          </w:p>
        </w:tc>
      </w:tr>
      <w:tr w14:paraId="2C68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06B056BF">
            <w:pPr>
              <w:pStyle w:val="8"/>
              <w:ind w:firstLine="0"/>
              <w:rPr>
                <w:color w:val="333333"/>
                <w:kern w:val="0"/>
                <w:sz w:val="24"/>
                <w:szCs w:val="24"/>
              </w:rPr>
            </w:pPr>
            <w:r>
              <w:rPr>
                <w:rFonts w:hint="eastAsia"/>
                <w:color w:val="333333"/>
                <w:kern w:val="0"/>
                <w:sz w:val="24"/>
                <w:szCs w:val="24"/>
              </w:rPr>
              <w:t>样片尺寸</w:t>
            </w:r>
          </w:p>
        </w:tc>
        <w:tc>
          <w:tcPr>
            <w:tcW w:w="6345" w:type="dxa"/>
            <w:shd w:val="clear" w:color="auto" w:fill="auto"/>
            <w:vAlign w:val="center"/>
          </w:tcPr>
          <w:p w14:paraId="1F19BEDD">
            <w:pPr>
              <w:pStyle w:val="8"/>
              <w:spacing w:line="240" w:lineRule="exact"/>
              <w:ind w:firstLine="0"/>
              <w:rPr>
                <w:color w:val="333333"/>
                <w:kern w:val="0"/>
                <w:szCs w:val="21"/>
              </w:rPr>
            </w:pPr>
            <w:r>
              <w:rPr>
                <w:rFonts w:hint="eastAsia"/>
                <w:color w:val="333333"/>
                <w:kern w:val="0"/>
                <w:szCs w:val="21"/>
              </w:rPr>
              <w:t>最小90mm×90mm，最大110 mm×110 mm</w:t>
            </w:r>
          </w:p>
        </w:tc>
      </w:tr>
      <w:tr w14:paraId="7C19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071131CE">
            <w:pPr>
              <w:pStyle w:val="8"/>
              <w:ind w:firstLine="0"/>
              <w:rPr>
                <w:color w:val="333333"/>
                <w:kern w:val="0"/>
                <w:sz w:val="24"/>
                <w:szCs w:val="24"/>
              </w:rPr>
            </w:pPr>
            <w:r>
              <w:rPr>
                <w:rFonts w:hint="eastAsia"/>
                <w:color w:val="333333"/>
                <w:kern w:val="0"/>
                <w:sz w:val="24"/>
                <w:szCs w:val="24"/>
              </w:rPr>
              <w:t>拉伸比</w:t>
            </w:r>
          </w:p>
        </w:tc>
        <w:tc>
          <w:tcPr>
            <w:tcW w:w="6345" w:type="dxa"/>
            <w:shd w:val="clear" w:color="auto" w:fill="auto"/>
            <w:vAlign w:val="center"/>
          </w:tcPr>
          <w:p w14:paraId="71045D24">
            <w:pPr>
              <w:pStyle w:val="8"/>
              <w:spacing w:line="240" w:lineRule="exact"/>
              <w:ind w:firstLine="0"/>
              <w:rPr>
                <w:color w:val="333333"/>
                <w:kern w:val="0"/>
                <w:szCs w:val="21"/>
              </w:rPr>
            </w:pPr>
            <w:r>
              <w:rPr>
                <w:rFonts w:hint="eastAsia"/>
                <w:color w:val="333333"/>
                <w:kern w:val="0"/>
                <w:szCs w:val="21"/>
              </w:rPr>
              <w:t>5:1（最小尺寸样片）</w:t>
            </w:r>
          </w:p>
        </w:tc>
      </w:tr>
      <w:tr w14:paraId="330C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5137647B">
            <w:pPr>
              <w:pStyle w:val="8"/>
              <w:ind w:firstLine="0"/>
              <w:rPr>
                <w:color w:val="333333"/>
                <w:kern w:val="0"/>
                <w:sz w:val="24"/>
                <w:szCs w:val="24"/>
              </w:rPr>
            </w:pPr>
            <w:r>
              <w:rPr>
                <w:rFonts w:hint="eastAsia"/>
                <w:color w:val="333333"/>
                <w:kern w:val="0"/>
                <w:sz w:val="24"/>
                <w:szCs w:val="24"/>
              </w:rPr>
              <w:t>拉伸速度</w:t>
            </w:r>
          </w:p>
        </w:tc>
        <w:tc>
          <w:tcPr>
            <w:tcW w:w="6345" w:type="dxa"/>
            <w:shd w:val="clear" w:color="auto" w:fill="auto"/>
            <w:vAlign w:val="center"/>
          </w:tcPr>
          <w:p w14:paraId="13921AC2">
            <w:pPr>
              <w:pStyle w:val="8"/>
              <w:spacing w:line="240" w:lineRule="exact"/>
              <w:ind w:firstLine="0"/>
              <w:rPr>
                <w:color w:val="333333"/>
                <w:kern w:val="0"/>
                <w:szCs w:val="21"/>
              </w:rPr>
            </w:pPr>
            <w:r>
              <w:rPr>
                <w:rFonts w:hint="eastAsia"/>
                <w:color w:val="333333"/>
                <w:kern w:val="0"/>
                <w:szCs w:val="21"/>
              </w:rPr>
              <w:t>0-300mm/s（无级可调）</w:t>
            </w:r>
          </w:p>
        </w:tc>
      </w:tr>
      <w:tr w14:paraId="535F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55169FFE">
            <w:pPr>
              <w:pStyle w:val="8"/>
              <w:ind w:firstLine="0"/>
              <w:rPr>
                <w:color w:val="333333"/>
                <w:kern w:val="0"/>
                <w:sz w:val="24"/>
                <w:szCs w:val="24"/>
              </w:rPr>
            </w:pPr>
            <w:r>
              <w:rPr>
                <w:rFonts w:hint="eastAsia"/>
                <w:color w:val="333333"/>
                <w:kern w:val="0"/>
                <w:sz w:val="24"/>
                <w:szCs w:val="24"/>
              </w:rPr>
              <w:t>拉伸力</w:t>
            </w:r>
          </w:p>
        </w:tc>
        <w:tc>
          <w:tcPr>
            <w:tcW w:w="6345" w:type="dxa"/>
            <w:shd w:val="clear" w:color="auto" w:fill="auto"/>
            <w:vAlign w:val="center"/>
          </w:tcPr>
          <w:p w14:paraId="21849A5A">
            <w:pPr>
              <w:pStyle w:val="8"/>
              <w:spacing w:line="240" w:lineRule="exact"/>
              <w:ind w:firstLine="0"/>
              <w:rPr>
                <w:color w:val="333333"/>
                <w:kern w:val="0"/>
                <w:szCs w:val="21"/>
              </w:rPr>
            </w:pPr>
            <w:r>
              <w:rPr>
                <w:rFonts w:hint="eastAsia"/>
                <w:color w:val="333333"/>
                <w:kern w:val="0"/>
                <w:szCs w:val="21"/>
              </w:rPr>
              <w:t>1000Nm</w:t>
            </w:r>
          </w:p>
        </w:tc>
      </w:tr>
      <w:tr w14:paraId="7DE1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7D59887F">
            <w:pPr>
              <w:pStyle w:val="8"/>
              <w:ind w:firstLine="0"/>
              <w:rPr>
                <w:color w:val="333333"/>
                <w:kern w:val="0"/>
                <w:sz w:val="24"/>
                <w:szCs w:val="24"/>
              </w:rPr>
            </w:pPr>
            <w:r>
              <w:rPr>
                <w:rFonts w:hint="eastAsia"/>
                <w:color w:val="333333"/>
                <w:kern w:val="0"/>
                <w:sz w:val="24"/>
                <w:szCs w:val="24"/>
              </w:rPr>
              <w:t>夹具气压</w:t>
            </w:r>
          </w:p>
        </w:tc>
        <w:tc>
          <w:tcPr>
            <w:tcW w:w="6345" w:type="dxa"/>
            <w:shd w:val="clear" w:color="auto" w:fill="auto"/>
            <w:vAlign w:val="center"/>
          </w:tcPr>
          <w:p w14:paraId="5D7B1005">
            <w:pPr>
              <w:pStyle w:val="8"/>
              <w:spacing w:line="240" w:lineRule="exact"/>
              <w:ind w:firstLine="0"/>
              <w:rPr>
                <w:color w:val="333333"/>
                <w:kern w:val="0"/>
                <w:szCs w:val="21"/>
              </w:rPr>
            </w:pPr>
            <w:r>
              <w:rPr>
                <w:rFonts w:hint="eastAsia"/>
                <w:color w:val="333333"/>
                <w:kern w:val="0"/>
                <w:szCs w:val="21"/>
              </w:rPr>
              <w:t>2.5MPa</w:t>
            </w:r>
          </w:p>
        </w:tc>
      </w:tr>
      <w:tr w14:paraId="20FD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36715A3D">
            <w:pPr>
              <w:pStyle w:val="8"/>
              <w:ind w:firstLine="0"/>
              <w:rPr>
                <w:color w:val="333333"/>
                <w:kern w:val="0"/>
                <w:sz w:val="24"/>
                <w:szCs w:val="24"/>
              </w:rPr>
            </w:pPr>
            <w:r>
              <w:rPr>
                <w:rFonts w:hint="eastAsia"/>
                <w:color w:val="333333"/>
                <w:kern w:val="0"/>
                <w:sz w:val="24"/>
                <w:szCs w:val="24"/>
              </w:rPr>
              <w:t>温控范围</w:t>
            </w:r>
          </w:p>
        </w:tc>
        <w:tc>
          <w:tcPr>
            <w:tcW w:w="6345" w:type="dxa"/>
            <w:shd w:val="clear" w:color="auto" w:fill="auto"/>
            <w:vAlign w:val="center"/>
          </w:tcPr>
          <w:p w14:paraId="15111027">
            <w:pPr>
              <w:pStyle w:val="8"/>
              <w:spacing w:line="240" w:lineRule="exact"/>
              <w:ind w:firstLine="0"/>
              <w:rPr>
                <w:color w:val="333333"/>
                <w:kern w:val="0"/>
                <w:szCs w:val="21"/>
              </w:rPr>
            </w:pPr>
            <w:r>
              <w:rPr>
                <w:rFonts w:hint="eastAsia"/>
                <w:color w:val="333333"/>
                <w:kern w:val="0"/>
                <w:szCs w:val="21"/>
              </w:rPr>
              <w:t>室温-250℃</w:t>
            </w:r>
          </w:p>
        </w:tc>
      </w:tr>
      <w:tr w14:paraId="3A14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1F9B2E01">
            <w:pPr>
              <w:pStyle w:val="8"/>
              <w:ind w:firstLine="0"/>
              <w:rPr>
                <w:color w:val="333333"/>
                <w:kern w:val="0"/>
                <w:sz w:val="24"/>
                <w:szCs w:val="24"/>
              </w:rPr>
            </w:pPr>
            <w:r>
              <w:rPr>
                <w:rFonts w:hint="eastAsia"/>
                <w:color w:val="333333"/>
                <w:kern w:val="0"/>
                <w:sz w:val="24"/>
                <w:szCs w:val="24"/>
              </w:rPr>
              <w:t>温度控制精度</w:t>
            </w:r>
          </w:p>
        </w:tc>
        <w:tc>
          <w:tcPr>
            <w:tcW w:w="6345" w:type="dxa"/>
            <w:shd w:val="clear" w:color="auto" w:fill="auto"/>
            <w:vAlign w:val="center"/>
          </w:tcPr>
          <w:p w14:paraId="1DB70B60">
            <w:pPr>
              <w:pStyle w:val="8"/>
              <w:spacing w:line="240" w:lineRule="exact"/>
              <w:ind w:firstLine="0"/>
              <w:rPr>
                <w:color w:val="333333"/>
                <w:kern w:val="0"/>
                <w:szCs w:val="21"/>
              </w:rPr>
            </w:pPr>
            <w:r>
              <w:rPr>
                <w:rFonts w:hint="eastAsia"/>
                <w:color w:val="333333"/>
                <w:kern w:val="0"/>
                <w:szCs w:val="21"/>
              </w:rPr>
              <w:t>±3℃</w:t>
            </w:r>
          </w:p>
        </w:tc>
      </w:tr>
      <w:tr w14:paraId="09C1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25C51C6E">
            <w:pPr>
              <w:pStyle w:val="8"/>
              <w:ind w:firstLine="0"/>
              <w:rPr>
                <w:color w:val="333333"/>
                <w:kern w:val="0"/>
                <w:sz w:val="24"/>
                <w:szCs w:val="24"/>
              </w:rPr>
            </w:pPr>
            <w:r>
              <w:rPr>
                <w:rFonts w:hint="eastAsia"/>
                <w:color w:val="333333"/>
                <w:kern w:val="0"/>
                <w:sz w:val="24"/>
                <w:szCs w:val="24"/>
              </w:rPr>
              <w:t>工作电压</w:t>
            </w:r>
          </w:p>
        </w:tc>
        <w:tc>
          <w:tcPr>
            <w:tcW w:w="6345" w:type="dxa"/>
            <w:shd w:val="clear" w:color="auto" w:fill="auto"/>
            <w:vAlign w:val="center"/>
          </w:tcPr>
          <w:p w14:paraId="2FF256D1">
            <w:pPr>
              <w:pStyle w:val="8"/>
              <w:spacing w:line="240" w:lineRule="exact"/>
              <w:ind w:firstLine="0"/>
              <w:rPr>
                <w:color w:val="333333"/>
                <w:kern w:val="0"/>
                <w:szCs w:val="21"/>
              </w:rPr>
            </w:pPr>
            <w:r>
              <w:rPr>
                <w:rFonts w:hint="eastAsia"/>
                <w:color w:val="333333"/>
                <w:kern w:val="0"/>
                <w:szCs w:val="21"/>
              </w:rPr>
              <w:t>3φ380VAC±10%，1φ220VAC±10%，50Hz</w:t>
            </w:r>
          </w:p>
        </w:tc>
      </w:tr>
      <w:tr w14:paraId="3612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154DA633">
            <w:pPr>
              <w:pStyle w:val="8"/>
              <w:ind w:firstLine="0"/>
              <w:rPr>
                <w:color w:val="333333"/>
                <w:kern w:val="0"/>
                <w:sz w:val="24"/>
                <w:szCs w:val="24"/>
              </w:rPr>
            </w:pPr>
            <w:r>
              <w:rPr>
                <w:rFonts w:hint="eastAsia"/>
                <w:color w:val="333333"/>
                <w:kern w:val="0"/>
                <w:sz w:val="24"/>
                <w:szCs w:val="24"/>
              </w:rPr>
              <w:t>额定功率</w:t>
            </w:r>
          </w:p>
        </w:tc>
        <w:tc>
          <w:tcPr>
            <w:tcW w:w="6345" w:type="dxa"/>
            <w:shd w:val="clear" w:color="auto" w:fill="auto"/>
            <w:vAlign w:val="center"/>
          </w:tcPr>
          <w:p w14:paraId="478F1F8A">
            <w:pPr>
              <w:pStyle w:val="8"/>
              <w:spacing w:line="240" w:lineRule="exact"/>
              <w:ind w:firstLine="0"/>
              <w:rPr>
                <w:color w:val="333333"/>
                <w:kern w:val="0"/>
                <w:szCs w:val="21"/>
              </w:rPr>
            </w:pPr>
            <w:r>
              <w:rPr>
                <w:rFonts w:hint="eastAsia"/>
                <w:color w:val="333333"/>
                <w:kern w:val="0"/>
                <w:szCs w:val="21"/>
              </w:rPr>
              <w:t>约26kW</w:t>
            </w:r>
          </w:p>
        </w:tc>
      </w:tr>
      <w:tr w14:paraId="441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739962FB">
            <w:pPr>
              <w:pStyle w:val="8"/>
              <w:ind w:firstLine="0"/>
              <w:rPr>
                <w:color w:val="333333"/>
                <w:kern w:val="0"/>
                <w:sz w:val="24"/>
                <w:szCs w:val="24"/>
              </w:rPr>
            </w:pPr>
            <w:r>
              <w:rPr>
                <w:rFonts w:hint="eastAsia"/>
                <w:color w:val="333333"/>
                <w:kern w:val="0"/>
                <w:sz w:val="24"/>
                <w:szCs w:val="24"/>
              </w:rPr>
              <w:t>长×宽×高</w:t>
            </w:r>
          </w:p>
        </w:tc>
        <w:tc>
          <w:tcPr>
            <w:tcW w:w="6345" w:type="dxa"/>
            <w:shd w:val="clear" w:color="auto" w:fill="auto"/>
            <w:vAlign w:val="center"/>
          </w:tcPr>
          <w:p w14:paraId="286EF5F1">
            <w:pPr>
              <w:pStyle w:val="8"/>
              <w:spacing w:line="240" w:lineRule="exact"/>
              <w:ind w:firstLine="0"/>
              <w:rPr>
                <w:color w:val="333333"/>
                <w:kern w:val="0"/>
                <w:szCs w:val="21"/>
              </w:rPr>
            </w:pPr>
            <w:r>
              <w:rPr>
                <w:rFonts w:hint="eastAsia"/>
                <w:color w:val="333333"/>
                <w:kern w:val="0"/>
                <w:szCs w:val="21"/>
              </w:rPr>
              <w:t>2700mm×1500mm×1700mm</w:t>
            </w:r>
          </w:p>
        </w:tc>
      </w:tr>
      <w:tr w14:paraId="216F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07F39566">
            <w:pPr>
              <w:pStyle w:val="8"/>
              <w:ind w:firstLine="0"/>
              <w:rPr>
                <w:color w:val="333333"/>
                <w:kern w:val="0"/>
                <w:sz w:val="24"/>
                <w:szCs w:val="24"/>
              </w:rPr>
            </w:pPr>
            <w:r>
              <w:rPr>
                <w:rFonts w:hint="eastAsia"/>
                <w:color w:val="333333"/>
                <w:kern w:val="0"/>
                <w:sz w:val="24"/>
                <w:szCs w:val="24"/>
              </w:rPr>
              <w:t>整机重量</w:t>
            </w:r>
          </w:p>
        </w:tc>
        <w:tc>
          <w:tcPr>
            <w:tcW w:w="6345" w:type="dxa"/>
            <w:shd w:val="clear" w:color="auto" w:fill="auto"/>
            <w:vAlign w:val="center"/>
          </w:tcPr>
          <w:p w14:paraId="7ABB7411">
            <w:pPr>
              <w:pStyle w:val="8"/>
              <w:spacing w:line="240" w:lineRule="exact"/>
              <w:ind w:firstLine="0"/>
              <w:rPr>
                <w:color w:val="333333"/>
                <w:kern w:val="0"/>
                <w:szCs w:val="21"/>
              </w:rPr>
            </w:pPr>
            <w:r>
              <w:rPr>
                <w:rFonts w:hint="eastAsia"/>
                <w:color w:val="333333"/>
                <w:kern w:val="0"/>
                <w:szCs w:val="21"/>
              </w:rPr>
              <w:t>约2500kg</w:t>
            </w:r>
          </w:p>
        </w:tc>
      </w:tr>
      <w:tr w14:paraId="5C7B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01" w:type="dxa"/>
            <w:shd w:val="clear" w:color="auto" w:fill="auto"/>
            <w:vAlign w:val="center"/>
          </w:tcPr>
          <w:p w14:paraId="542CBCBD">
            <w:pPr>
              <w:pStyle w:val="8"/>
              <w:ind w:firstLine="0"/>
              <w:rPr>
                <w:color w:val="333333"/>
                <w:kern w:val="0"/>
                <w:sz w:val="24"/>
                <w:szCs w:val="24"/>
              </w:rPr>
            </w:pPr>
            <w:r>
              <w:rPr>
                <w:rFonts w:hint="eastAsia"/>
                <w:color w:val="333333"/>
                <w:kern w:val="0"/>
                <w:sz w:val="24"/>
                <w:szCs w:val="24"/>
              </w:rPr>
              <w:t>机架总成</w:t>
            </w:r>
          </w:p>
        </w:tc>
        <w:tc>
          <w:tcPr>
            <w:tcW w:w="6345" w:type="dxa"/>
            <w:shd w:val="clear" w:color="auto" w:fill="auto"/>
            <w:vAlign w:val="center"/>
          </w:tcPr>
          <w:p w14:paraId="0C8D0292">
            <w:pPr>
              <w:pStyle w:val="8"/>
              <w:spacing w:line="240" w:lineRule="exact"/>
              <w:ind w:firstLine="0"/>
              <w:rPr>
                <w:color w:val="333333"/>
                <w:kern w:val="0"/>
                <w:szCs w:val="21"/>
              </w:rPr>
            </w:pPr>
            <w:r>
              <w:rPr>
                <w:rFonts w:hint="eastAsia"/>
                <w:color w:val="333333"/>
                <w:kern w:val="0"/>
                <w:szCs w:val="21"/>
              </w:rPr>
              <w:t>高强度一体化机架，轻便美观、经久耐用；一体化高承重可调节避震脚杯</w:t>
            </w:r>
          </w:p>
        </w:tc>
      </w:tr>
      <w:tr w14:paraId="0CF1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01" w:type="dxa"/>
            <w:shd w:val="clear" w:color="auto" w:fill="auto"/>
            <w:vAlign w:val="center"/>
          </w:tcPr>
          <w:p w14:paraId="2CADEC94">
            <w:pPr>
              <w:pStyle w:val="8"/>
              <w:ind w:firstLine="0"/>
              <w:rPr>
                <w:color w:val="333333"/>
                <w:kern w:val="0"/>
                <w:sz w:val="24"/>
                <w:szCs w:val="24"/>
              </w:rPr>
            </w:pPr>
            <w:r>
              <w:rPr>
                <w:rFonts w:hint="eastAsia"/>
                <w:color w:val="333333"/>
                <w:kern w:val="0"/>
                <w:sz w:val="24"/>
                <w:szCs w:val="24"/>
              </w:rPr>
              <w:t>装夹总成</w:t>
            </w:r>
          </w:p>
        </w:tc>
        <w:tc>
          <w:tcPr>
            <w:tcW w:w="6345" w:type="dxa"/>
            <w:shd w:val="clear" w:color="auto" w:fill="auto"/>
            <w:vAlign w:val="center"/>
          </w:tcPr>
          <w:p w14:paraId="48FD3567">
            <w:pPr>
              <w:pStyle w:val="8"/>
              <w:spacing w:line="240" w:lineRule="exact"/>
              <w:ind w:firstLine="0"/>
              <w:rPr>
                <w:color w:val="333333"/>
                <w:kern w:val="0"/>
                <w:szCs w:val="21"/>
              </w:rPr>
            </w:pPr>
            <w:r>
              <w:rPr>
                <w:rFonts w:hint="eastAsia"/>
                <w:color w:val="333333"/>
                <w:kern w:val="0"/>
                <w:szCs w:val="21"/>
              </w:rPr>
              <w:t>采用高压气动夹；5个/边，共20个；卧式结构，气压/手动装片</w:t>
            </w:r>
          </w:p>
        </w:tc>
      </w:tr>
      <w:tr w14:paraId="3751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501" w:type="dxa"/>
            <w:shd w:val="clear" w:color="auto" w:fill="auto"/>
            <w:vAlign w:val="center"/>
          </w:tcPr>
          <w:p w14:paraId="49EB93EB">
            <w:pPr>
              <w:pStyle w:val="8"/>
              <w:ind w:firstLine="0"/>
              <w:rPr>
                <w:color w:val="333333"/>
                <w:kern w:val="0"/>
                <w:sz w:val="24"/>
                <w:szCs w:val="24"/>
              </w:rPr>
            </w:pPr>
            <w:r>
              <w:rPr>
                <w:rFonts w:hint="eastAsia"/>
                <w:color w:val="333333"/>
                <w:kern w:val="0"/>
                <w:sz w:val="24"/>
                <w:szCs w:val="24"/>
              </w:rPr>
              <w:t>拉伸总成</w:t>
            </w:r>
          </w:p>
        </w:tc>
        <w:tc>
          <w:tcPr>
            <w:tcW w:w="6345" w:type="dxa"/>
            <w:shd w:val="clear" w:color="auto" w:fill="auto"/>
            <w:vAlign w:val="center"/>
          </w:tcPr>
          <w:p w14:paraId="45C81F81">
            <w:pPr>
              <w:pStyle w:val="8"/>
              <w:spacing w:line="240" w:lineRule="exact"/>
              <w:ind w:firstLine="0"/>
              <w:rPr>
                <w:color w:val="333333"/>
                <w:kern w:val="0"/>
                <w:szCs w:val="21"/>
              </w:rPr>
            </w:pPr>
            <w:r>
              <w:rPr>
                <w:rFonts w:hint="eastAsia"/>
                <w:color w:val="333333"/>
                <w:kern w:val="0"/>
                <w:szCs w:val="21"/>
              </w:rPr>
              <w:t>X、Y轴独立驱动，恒定速率速度模式；拉伸方式，单向有（无）约束拉伸、双向同步（异步）拉伸；1.0kW伺服电机，专用伺服驱动器，专用伺服电机伞齿减速机；采用高精度链条传动，拉伸顺畅</w:t>
            </w:r>
          </w:p>
        </w:tc>
      </w:tr>
      <w:tr w14:paraId="5DE0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01" w:type="dxa"/>
            <w:shd w:val="clear" w:color="auto" w:fill="auto"/>
            <w:vAlign w:val="center"/>
          </w:tcPr>
          <w:p w14:paraId="2808E070">
            <w:pPr>
              <w:pStyle w:val="8"/>
              <w:ind w:firstLine="0"/>
              <w:rPr>
                <w:color w:val="333333"/>
                <w:kern w:val="0"/>
                <w:sz w:val="24"/>
                <w:szCs w:val="24"/>
              </w:rPr>
            </w:pPr>
            <w:r>
              <w:rPr>
                <w:rFonts w:hint="eastAsia"/>
                <w:color w:val="333333"/>
                <w:kern w:val="0"/>
                <w:sz w:val="24"/>
                <w:szCs w:val="24"/>
              </w:rPr>
              <w:t>拉伸机构移动总成</w:t>
            </w:r>
          </w:p>
        </w:tc>
        <w:tc>
          <w:tcPr>
            <w:tcW w:w="6345" w:type="dxa"/>
            <w:shd w:val="clear" w:color="auto" w:fill="auto"/>
            <w:vAlign w:val="center"/>
          </w:tcPr>
          <w:p w14:paraId="2BA87E96">
            <w:pPr>
              <w:pStyle w:val="8"/>
              <w:spacing w:line="240" w:lineRule="exact"/>
              <w:ind w:firstLine="0"/>
              <w:rPr>
                <w:color w:val="333333"/>
                <w:kern w:val="0"/>
                <w:szCs w:val="21"/>
              </w:rPr>
            </w:pPr>
            <w:r>
              <w:rPr>
                <w:rFonts w:hint="eastAsia"/>
                <w:color w:val="333333"/>
                <w:kern w:val="0"/>
                <w:szCs w:val="21"/>
              </w:rPr>
              <w:t>0.75kW伺服电机，专用伺服驱动器，专用伺服电机减速机；采用链条传动，移动顺畅</w:t>
            </w:r>
          </w:p>
        </w:tc>
      </w:tr>
      <w:tr w14:paraId="38D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01" w:type="dxa"/>
            <w:shd w:val="clear" w:color="auto" w:fill="auto"/>
            <w:vAlign w:val="center"/>
          </w:tcPr>
          <w:p w14:paraId="7D1DBBE1">
            <w:pPr>
              <w:pStyle w:val="8"/>
              <w:ind w:firstLine="0"/>
              <w:rPr>
                <w:color w:val="333333"/>
                <w:kern w:val="0"/>
                <w:sz w:val="24"/>
                <w:szCs w:val="24"/>
              </w:rPr>
            </w:pPr>
            <w:r>
              <w:rPr>
                <w:rFonts w:hint="eastAsia"/>
                <w:color w:val="333333"/>
                <w:kern w:val="0"/>
                <w:sz w:val="24"/>
                <w:szCs w:val="24"/>
              </w:rPr>
              <w:t>拉伸热烘箱总成</w:t>
            </w:r>
          </w:p>
        </w:tc>
        <w:tc>
          <w:tcPr>
            <w:tcW w:w="6345" w:type="dxa"/>
            <w:shd w:val="clear" w:color="auto" w:fill="auto"/>
            <w:vAlign w:val="center"/>
          </w:tcPr>
          <w:p w14:paraId="2B225E9A">
            <w:pPr>
              <w:pStyle w:val="8"/>
              <w:spacing w:line="240" w:lineRule="exact"/>
              <w:ind w:firstLine="0"/>
              <w:rPr>
                <w:color w:val="333333"/>
                <w:kern w:val="0"/>
                <w:szCs w:val="21"/>
              </w:rPr>
            </w:pPr>
            <w:r>
              <w:rPr>
                <w:rFonts w:hint="eastAsia"/>
                <w:color w:val="333333"/>
                <w:kern w:val="0"/>
                <w:szCs w:val="21"/>
              </w:rPr>
              <w:t>1个炉体，22kW加热器，不锈钢内胆，升温速率高；2点测温温控，温控精准；0.37kW专用直翼式隔热型鼓风机，循环风量17m3/min；无极变频调速驱动</w:t>
            </w:r>
          </w:p>
        </w:tc>
      </w:tr>
      <w:tr w14:paraId="0EF9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01" w:type="dxa"/>
            <w:shd w:val="clear" w:color="auto" w:fill="auto"/>
            <w:vAlign w:val="center"/>
          </w:tcPr>
          <w:p w14:paraId="5AFCBE12">
            <w:pPr>
              <w:pStyle w:val="8"/>
              <w:ind w:firstLine="0"/>
              <w:rPr>
                <w:color w:val="333333"/>
                <w:kern w:val="0"/>
                <w:sz w:val="24"/>
                <w:szCs w:val="24"/>
              </w:rPr>
            </w:pPr>
            <w:r>
              <w:rPr>
                <w:rFonts w:hint="eastAsia"/>
                <w:color w:val="333333"/>
                <w:kern w:val="0"/>
                <w:sz w:val="24"/>
                <w:szCs w:val="24"/>
              </w:rPr>
              <w:t>气动风帘总成</w:t>
            </w:r>
          </w:p>
        </w:tc>
        <w:tc>
          <w:tcPr>
            <w:tcW w:w="6345" w:type="dxa"/>
            <w:shd w:val="clear" w:color="auto" w:fill="auto"/>
            <w:vAlign w:val="center"/>
          </w:tcPr>
          <w:p w14:paraId="4A63C14E">
            <w:pPr>
              <w:pStyle w:val="8"/>
              <w:spacing w:line="240" w:lineRule="exact"/>
              <w:ind w:firstLine="0"/>
              <w:rPr>
                <w:color w:val="333333"/>
                <w:kern w:val="0"/>
                <w:szCs w:val="21"/>
              </w:rPr>
            </w:pPr>
            <w:r>
              <w:rPr>
                <w:rFonts w:hint="eastAsia"/>
                <w:color w:val="333333"/>
                <w:kern w:val="0"/>
                <w:szCs w:val="21"/>
              </w:rPr>
              <w:t>减少烘箱与外部之间的热交换，在升温和保温的过程中减少热损失</w:t>
            </w:r>
          </w:p>
        </w:tc>
      </w:tr>
      <w:tr w14:paraId="1B17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01" w:type="dxa"/>
            <w:shd w:val="clear" w:color="auto" w:fill="auto"/>
            <w:vAlign w:val="center"/>
          </w:tcPr>
          <w:p w14:paraId="2E84DB25">
            <w:pPr>
              <w:pStyle w:val="8"/>
              <w:ind w:firstLine="0"/>
              <w:rPr>
                <w:color w:val="333333"/>
                <w:kern w:val="0"/>
                <w:sz w:val="24"/>
                <w:szCs w:val="24"/>
              </w:rPr>
            </w:pPr>
            <w:r>
              <w:rPr>
                <w:rFonts w:hint="eastAsia"/>
                <w:color w:val="333333"/>
                <w:kern w:val="0"/>
                <w:sz w:val="24"/>
                <w:szCs w:val="24"/>
              </w:rPr>
              <w:t>操控系统</w:t>
            </w:r>
          </w:p>
        </w:tc>
        <w:tc>
          <w:tcPr>
            <w:tcW w:w="6345" w:type="dxa"/>
            <w:shd w:val="clear" w:color="auto" w:fill="auto"/>
            <w:vAlign w:val="center"/>
          </w:tcPr>
          <w:p w14:paraId="2109C29C">
            <w:pPr>
              <w:pStyle w:val="8"/>
              <w:spacing w:line="240" w:lineRule="exact"/>
              <w:ind w:firstLine="0"/>
              <w:rPr>
                <w:color w:val="333333"/>
                <w:kern w:val="0"/>
                <w:szCs w:val="21"/>
              </w:rPr>
            </w:pPr>
            <w:r>
              <w:rPr>
                <w:rFonts w:hint="eastAsia"/>
                <w:color w:val="333333"/>
                <w:kern w:val="0"/>
                <w:szCs w:val="21"/>
              </w:rPr>
              <w:t>23.8寸触屏一体商用电脑，提供拉伸系统、温度控制系统等所有操作，温度曲线、拉伸力矩曲线显示，故障报警信息查询</w:t>
            </w:r>
          </w:p>
        </w:tc>
      </w:tr>
      <w:tr w14:paraId="6BF5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501" w:type="dxa"/>
            <w:shd w:val="clear" w:color="auto" w:fill="auto"/>
            <w:vAlign w:val="center"/>
          </w:tcPr>
          <w:p w14:paraId="40FD3A36">
            <w:pPr>
              <w:pStyle w:val="8"/>
              <w:ind w:firstLine="0"/>
              <w:rPr>
                <w:color w:val="333333"/>
                <w:kern w:val="0"/>
                <w:sz w:val="24"/>
                <w:szCs w:val="24"/>
              </w:rPr>
            </w:pPr>
            <w:r>
              <w:rPr>
                <w:rFonts w:hint="eastAsia"/>
                <w:color w:val="333333"/>
                <w:kern w:val="0"/>
                <w:sz w:val="24"/>
                <w:szCs w:val="24"/>
              </w:rPr>
              <w:t>控制系统</w:t>
            </w:r>
          </w:p>
        </w:tc>
        <w:tc>
          <w:tcPr>
            <w:tcW w:w="6345" w:type="dxa"/>
            <w:shd w:val="clear" w:color="auto" w:fill="auto"/>
            <w:vAlign w:val="center"/>
          </w:tcPr>
          <w:p w14:paraId="1091D126">
            <w:pPr>
              <w:pStyle w:val="8"/>
              <w:spacing w:line="240" w:lineRule="exact"/>
              <w:ind w:firstLine="0"/>
              <w:rPr>
                <w:color w:val="333333"/>
                <w:kern w:val="0"/>
                <w:szCs w:val="21"/>
              </w:rPr>
            </w:pPr>
            <w:r>
              <w:rPr>
                <w:rFonts w:hint="eastAsia"/>
                <w:color w:val="333333"/>
                <w:kern w:val="0"/>
                <w:szCs w:val="21"/>
              </w:rPr>
              <w:t>计算机可编程控制器与上位操控系统组成，具有温度、拉伸自适应控制、过程参数的图文显示等传统控制系统无法实现的特殊功能，极大地提高了系统的人性化、智能化与安全性</w:t>
            </w:r>
          </w:p>
        </w:tc>
      </w:tr>
      <w:tr w14:paraId="0628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01" w:type="dxa"/>
            <w:shd w:val="clear" w:color="auto" w:fill="auto"/>
            <w:vAlign w:val="center"/>
          </w:tcPr>
          <w:p w14:paraId="2EFCE9EF">
            <w:pPr>
              <w:pStyle w:val="8"/>
              <w:ind w:firstLine="0"/>
              <w:rPr>
                <w:color w:val="333333"/>
                <w:kern w:val="0"/>
                <w:sz w:val="24"/>
                <w:szCs w:val="24"/>
              </w:rPr>
            </w:pPr>
            <w:r>
              <w:rPr>
                <w:rFonts w:hint="eastAsia"/>
                <w:color w:val="333333"/>
                <w:kern w:val="0"/>
                <w:sz w:val="24"/>
                <w:szCs w:val="24"/>
              </w:rPr>
              <w:t>测量系统</w:t>
            </w:r>
          </w:p>
        </w:tc>
        <w:tc>
          <w:tcPr>
            <w:tcW w:w="6345" w:type="dxa"/>
            <w:shd w:val="clear" w:color="auto" w:fill="auto"/>
            <w:vAlign w:val="center"/>
          </w:tcPr>
          <w:p w14:paraId="0AFB42CF">
            <w:pPr>
              <w:pStyle w:val="8"/>
              <w:spacing w:line="240" w:lineRule="exact"/>
              <w:ind w:firstLine="0"/>
              <w:rPr>
                <w:color w:val="333333"/>
                <w:kern w:val="0"/>
                <w:szCs w:val="21"/>
              </w:rPr>
            </w:pPr>
            <w:r>
              <w:rPr>
                <w:rFonts w:hint="eastAsia"/>
                <w:color w:val="333333"/>
                <w:kern w:val="0"/>
                <w:szCs w:val="21"/>
              </w:rPr>
              <w:t>温度测量：0-400℃</w:t>
            </w:r>
          </w:p>
        </w:tc>
      </w:tr>
      <w:tr w14:paraId="6153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01" w:type="dxa"/>
            <w:shd w:val="clear" w:color="auto" w:fill="auto"/>
            <w:vAlign w:val="center"/>
          </w:tcPr>
          <w:p w14:paraId="01756C4E">
            <w:pPr>
              <w:pStyle w:val="8"/>
              <w:ind w:firstLine="0"/>
              <w:rPr>
                <w:color w:val="333333"/>
                <w:kern w:val="0"/>
                <w:sz w:val="24"/>
                <w:szCs w:val="24"/>
              </w:rPr>
            </w:pPr>
            <w:r>
              <w:rPr>
                <w:rFonts w:hint="eastAsia"/>
                <w:color w:val="333333"/>
                <w:kern w:val="0"/>
                <w:sz w:val="24"/>
                <w:szCs w:val="24"/>
              </w:rPr>
              <w:t>电器柜</w:t>
            </w:r>
          </w:p>
        </w:tc>
        <w:tc>
          <w:tcPr>
            <w:tcW w:w="6345" w:type="dxa"/>
            <w:shd w:val="clear" w:color="auto" w:fill="auto"/>
            <w:vAlign w:val="center"/>
          </w:tcPr>
          <w:p w14:paraId="166C76E6">
            <w:pPr>
              <w:pStyle w:val="8"/>
              <w:spacing w:line="240" w:lineRule="exact"/>
              <w:ind w:firstLine="0"/>
              <w:rPr>
                <w:color w:val="333333"/>
                <w:kern w:val="0"/>
                <w:szCs w:val="21"/>
              </w:rPr>
            </w:pPr>
            <w:r>
              <w:rPr>
                <w:rFonts w:hint="eastAsia"/>
                <w:color w:val="333333"/>
                <w:kern w:val="0"/>
                <w:szCs w:val="21"/>
              </w:rPr>
              <w:t>机架一体化电器柜，铝合金电器安装板；品牌低压电器，专用电器柜风扇及通风过滤器</w:t>
            </w:r>
          </w:p>
        </w:tc>
      </w:tr>
      <w:tr w14:paraId="1C4A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01" w:type="dxa"/>
            <w:shd w:val="clear" w:color="auto" w:fill="auto"/>
            <w:vAlign w:val="center"/>
          </w:tcPr>
          <w:p w14:paraId="7C6B35BB">
            <w:pPr>
              <w:pStyle w:val="8"/>
              <w:ind w:firstLine="0"/>
              <w:rPr>
                <w:color w:val="333333"/>
                <w:kern w:val="0"/>
                <w:sz w:val="24"/>
                <w:szCs w:val="24"/>
              </w:rPr>
            </w:pPr>
            <w:r>
              <w:rPr>
                <w:rFonts w:hint="eastAsia"/>
                <w:color w:val="333333"/>
                <w:kern w:val="0"/>
                <w:sz w:val="24"/>
                <w:szCs w:val="24"/>
              </w:rPr>
              <w:t>电气安全</w:t>
            </w:r>
          </w:p>
        </w:tc>
        <w:tc>
          <w:tcPr>
            <w:tcW w:w="6345" w:type="dxa"/>
            <w:shd w:val="clear" w:color="auto" w:fill="auto"/>
            <w:vAlign w:val="center"/>
          </w:tcPr>
          <w:p w14:paraId="7A011B64">
            <w:pPr>
              <w:pStyle w:val="8"/>
              <w:spacing w:line="240" w:lineRule="exact"/>
              <w:ind w:firstLine="0"/>
              <w:rPr>
                <w:color w:val="333333"/>
                <w:kern w:val="0"/>
                <w:szCs w:val="21"/>
              </w:rPr>
            </w:pPr>
            <w:r>
              <w:rPr>
                <w:rFonts w:hint="eastAsia"/>
                <w:color w:val="333333"/>
                <w:kern w:val="0"/>
                <w:szCs w:val="21"/>
              </w:rPr>
              <w:t>安全接地并有明显的接地标识；故障自动停机和人工安全急停开关紧急停机</w:t>
            </w:r>
          </w:p>
        </w:tc>
      </w:tr>
      <w:tr w14:paraId="2528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501" w:type="dxa"/>
            <w:shd w:val="clear" w:color="auto" w:fill="auto"/>
            <w:vAlign w:val="center"/>
          </w:tcPr>
          <w:p w14:paraId="2F69C427">
            <w:pPr>
              <w:pStyle w:val="8"/>
              <w:ind w:firstLine="0"/>
              <w:rPr>
                <w:color w:val="333333"/>
                <w:kern w:val="0"/>
                <w:sz w:val="24"/>
                <w:szCs w:val="24"/>
              </w:rPr>
            </w:pPr>
            <w:r>
              <w:rPr>
                <w:rFonts w:hint="eastAsia"/>
                <w:color w:val="333333"/>
                <w:kern w:val="0"/>
                <w:sz w:val="24"/>
                <w:szCs w:val="24"/>
              </w:rPr>
              <w:t>膜温检测功能</w:t>
            </w:r>
          </w:p>
        </w:tc>
        <w:tc>
          <w:tcPr>
            <w:tcW w:w="6345" w:type="dxa"/>
            <w:shd w:val="clear" w:color="auto" w:fill="auto"/>
            <w:vAlign w:val="center"/>
          </w:tcPr>
          <w:p w14:paraId="640C0E51">
            <w:pPr>
              <w:pStyle w:val="8"/>
              <w:spacing w:line="240" w:lineRule="exact"/>
              <w:ind w:firstLine="0"/>
              <w:rPr>
                <w:color w:val="333333"/>
                <w:kern w:val="0"/>
                <w:szCs w:val="21"/>
              </w:rPr>
            </w:pPr>
            <w:r>
              <w:rPr>
                <w:rFonts w:hint="eastAsia"/>
                <w:color w:val="333333"/>
                <w:kern w:val="0"/>
                <w:szCs w:val="21"/>
              </w:rPr>
              <w:t>红外线测温系统，测温范围：室温~430℃，光谱响应：3.43um；D:S: 20:1；系统精度：测量值的±1%或1.4℃，取大值；重复性：测量值的±0.5%或±0.7℃，取大值；响应时间：130ms</w:t>
            </w:r>
          </w:p>
        </w:tc>
      </w:tr>
      <w:tr w14:paraId="609D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501" w:type="dxa"/>
            <w:shd w:val="clear" w:color="auto" w:fill="auto"/>
            <w:vAlign w:val="center"/>
          </w:tcPr>
          <w:p w14:paraId="11545602">
            <w:pPr>
              <w:pStyle w:val="8"/>
              <w:ind w:firstLine="0"/>
              <w:rPr>
                <w:color w:val="333333"/>
                <w:kern w:val="0"/>
                <w:sz w:val="24"/>
                <w:szCs w:val="24"/>
              </w:rPr>
            </w:pPr>
            <w:r>
              <w:rPr>
                <w:rFonts w:hint="eastAsia"/>
                <w:color w:val="333333"/>
                <w:kern w:val="0"/>
                <w:sz w:val="24"/>
                <w:szCs w:val="24"/>
              </w:rPr>
              <w:t>可视化监控系统</w:t>
            </w:r>
          </w:p>
        </w:tc>
        <w:tc>
          <w:tcPr>
            <w:tcW w:w="6345" w:type="dxa"/>
            <w:shd w:val="clear" w:color="auto" w:fill="auto"/>
            <w:vAlign w:val="center"/>
          </w:tcPr>
          <w:p w14:paraId="56F2EA19">
            <w:pPr>
              <w:pStyle w:val="8"/>
              <w:spacing w:line="240" w:lineRule="exact"/>
              <w:ind w:firstLine="0"/>
              <w:rPr>
                <w:color w:val="333333"/>
                <w:kern w:val="0"/>
                <w:szCs w:val="21"/>
              </w:rPr>
            </w:pPr>
            <w:r>
              <w:rPr>
                <w:rFonts w:hint="eastAsia"/>
                <w:color w:val="333333"/>
                <w:kern w:val="0"/>
                <w:szCs w:val="21"/>
              </w:rPr>
              <w:t>高清摄像头、钢化玻璃视窗、监控软件</w:t>
            </w:r>
          </w:p>
        </w:tc>
      </w:tr>
      <w:tr w14:paraId="6BFE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01" w:type="dxa"/>
            <w:shd w:val="clear" w:color="auto" w:fill="auto"/>
            <w:vAlign w:val="center"/>
          </w:tcPr>
          <w:p w14:paraId="70339C4E">
            <w:pPr>
              <w:pStyle w:val="8"/>
              <w:ind w:firstLine="0"/>
              <w:rPr>
                <w:color w:val="333333"/>
                <w:kern w:val="0"/>
                <w:sz w:val="24"/>
                <w:szCs w:val="24"/>
              </w:rPr>
            </w:pPr>
            <w:r>
              <w:rPr>
                <w:rFonts w:hint="eastAsia"/>
                <w:color w:val="333333"/>
                <w:kern w:val="0"/>
                <w:sz w:val="24"/>
                <w:szCs w:val="24"/>
              </w:rPr>
              <w:t>电源要求</w:t>
            </w:r>
          </w:p>
        </w:tc>
        <w:tc>
          <w:tcPr>
            <w:tcW w:w="6345" w:type="dxa"/>
            <w:shd w:val="clear" w:color="auto" w:fill="auto"/>
            <w:vAlign w:val="center"/>
          </w:tcPr>
          <w:p w14:paraId="2EFE6448">
            <w:pPr>
              <w:pStyle w:val="8"/>
              <w:spacing w:line="240" w:lineRule="exact"/>
              <w:ind w:firstLine="0"/>
              <w:rPr>
                <w:color w:val="333333"/>
                <w:kern w:val="0"/>
                <w:szCs w:val="21"/>
              </w:rPr>
            </w:pPr>
            <w:r>
              <w:rPr>
                <w:rFonts w:hint="eastAsia"/>
                <w:color w:val="333333"/>
                <w:kern w:val="0"/>
                <w:szCs w:val="21"/>
              </w:rPr>
              <w:t>三相五线制（含零线N，地线PE）；三相380VAC，50Hz，单相220VAC，50Hz；</w:t>
            </w:r>
          </w:p>
        </w:tc>
      </w:tr>
      <w:tr w14:paraId="57B6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01" w:type="dxa"/>
            <w:shd w:val="clear" w:color="auto" w:fill="auto"/>
            <w:vAlign w:val="center"/>
          </w:tcPr>
          <w:p w14:paraId="7496EEF4">
            <w:pPr>
              <w:pStyle w:val="8"/>
              <w:ind w:firstLine="0"/>
              <w:rPr>
                <w:color w:val="333333"/>
                <w:kern w:val="0"/>
                <w:sz w:val="24"/>
                <w:szCs w:val="24"/>
              </w:rPr>
            </w:pPr>
            <w:r>
              <w:rPr>
                <w:rFonts w:hint="eastAsia"/>
                <w:color w:val="333333"/>
                <w:kern w:val="0"/>
                <w:sz w:val="24"/>
                <w:szCs w:val="24"/>
              </w:rPr>
              <w:t>供电电缆</w:t>
            </w:r>
          </w:p>
        </w:tc>
        <w:tc>
          <w:tcPr>
            <w:tcW w:w="6345" w:type="dxa"/>
            <w:shd w:val="clear" w:color="auto" w:fill="auto"/>
            <w:vAlign w:val="center"/>
          </w:tcPr>
          <w:p w14:paraId="24B1952D">
            <w:pPr>
              <w:pStyle w:val="8"/>
              <w:spacing w:line="240" w:lineRule="exact"/>
              <w:ind w:firstLine="0"/>
              <w:rPr>
                <w:color w:val="333333"/>
                <w:kern w:val="0"/>
                <w:szCs w:val="21"/>
              </w:rPr>
            </w:pPr>
            <w:r>
              <w:rPr>
                <w:rFonts w:hint="eastAsia"/>
                <w:color w:val="333333"/>
                <w:kern w:val="0"/>
                <w:szCs w:val="21"/>
              </w:rPr>
              <w:t>5×16mm2（铜芯）</w:t>
            </w:r>
          </w:p>
        </w:tc>
      </w:tr>
      <w:tr w14:paraId="082F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01" w:type="dxa"/>
            <w:shd w:val="clear" w:color="auto" w:fill="auto"/>
            <w:vAlign w:val="center"/>
          </w:tcPr>
          <w:p w14:paraId="708E9FF2">
            <w:pPr>
              <w:pStyle w:val="8"/>
              <w:ind w:firstLine="0"/>
              <w:rPr>
                <w:color w:val="333333"/>
                <w:kern w:val="0"/>
                <w:sz w:val="24"/>
                <w:szCs w:val="24"/>
              </w:rPr>
            </w:pPr>
            <w:r>
              <w:rPr>
                <w:rFonts w:hint="eastAsia"/>
                <w:color w:val="333333"/>
                <w:kern w:val="0"/>
                <w:sz w:val="24"/>
                <w:szCs w:val="24"/>
              </w:rPr>
              <w:t>气源要求（压缩空气）</w:t>
            </w:r>
          </w:p>
        </w:tc>
        <w:tc>
          <w:tcPr>
            <w:tcW w:w="6345" w:type="dxa"/>
            <w:shd w:val="clear" w:color="auto" w:fill="auto"/>
            <w:vAlign w:val="center"/>
          </w:tcPr>
          <w:p w14:paraId="7B8BE836">
            <w:pPr>
              <w:pStyle w:val="8"/>
              <w:spacing w:line="240" w:lineRule="exact"/>
              <w:ind w:firstLine="0"/>
              <w:rPr>
                <w:color w:val="333333"/>
                <w:kern w:val="0"/>
                <w:szCs w:val="21"/>
              </w:rPr>
            </w:pPr>
            <w:r>
              <w:rPr>
                <w:rFonts w:hint="eastAsia"/>
                <w:color w:val="333333"/>
                <w:kern w:val="0"/>
                <w:szCs w:val="21"/>
              </w:rPr>
              <w:t>6-8bar，φ8气管</w:t>
            </w:r>
          </w:p>
        </w:tc>
      </w:tr>
      <w:tr w14:paraId="256B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1" w:type="dxa"/>
            <w:shd w:val="clear" w:color="auto" w:fill="auto"/>
            <w:vAlign w:val="center"/>
          </w:tcPr>
          <w:p w14:paraId="3AF80FF9">
            <w:pPr>
              <w:pStyle w:val="8"/>
              <w:ind w:firstLine="0"/>
              <w:rPr>
                <w:color w:val="333333"/>
                <w:kern w:val="0"/>
                <w:sz w:val="24"/>
                <w:szCs w:val="24"/>
              </w:rPr>
            </w:pPr>
            <w:r>
              <w:rPr>
                <w:rFonts w:hint="eastAsia"/>
                <w:color w:val="333333"/>
                <w:kern w:val="0"/>
                <w:sz w:val="24"/>
                <w:szCs w:val="24"/>
              </w:rPr>
              <w:t>气源要求（高压氮气）</w:t>
            </w:r>
          </w:p>
        </w:tc>
        <w:tc>
          <w:tcPr>
            <w:tcW w:w="6345" w:type="dxa"/>
            <w:shd w:val="clear" w:color="auto" w:fill="auto"/>
            <w:vAlign w:val="center"/>
          </w:tcPr>
          <w:p w14:paraId="1F26693E">
            <w:pPr>
              <w:pStyle w:val="8"/>
              <w:spacing w:line="240" w:lineRule="exact"/>
              <w:ind w:firstLine="0"/>
              <w:rPr>
                <w:color w:val="333333"/>
                <w:kern w:val="0"/>
                <w:szCs w:val="21"/>
              </w:rPr>
            </w:pPr>
            <w:r>
              <w:rPr>
                <w:rFonts w:hint="eastAsia"/>
                <w:color w:val="333333"/>
                <w:kern w:val="0"/>
                <w:szCs w:val="21"/>
              </w:rPr>
              <w:t>2-2.5MPa，φ18高压气管</w:t>
            </w:r>
          </w:p>
        </w:tc>
      </w:tr>
      <w:tr w14:paraId="5A07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01" w:type="dxa"/>
            <w:shd w:val="clear" w:color="auto" w:fill="auto"/>
            <w:vAlign w:val="center"/>
          </w:tcPr>
          <w:p w14:paraId="3B8372EB">
            <w:pPr>
              <w:pStyle w:val="8"/>
              <w:ind w:firstLine="0"/>
              <w:rPr>
                <w:color w:val="333333"/>
                <w:kern w:val="0"/>
                <w:sz w:val="24"/>
                <w:szCs w:val="24"/>
              </w:rPr>
            </w:pPr>
            <w:r>
              <w:rPr>
                <w:rFonts w:hint="eastAsia"/>
                <w:color w:val="333333"/>
                <w:kern w:val="0"/>
                <w:sz w:val="24"/>
                <w:szCs w:val="24"/>
              </w:rPr>
              <w:t>冷却水（无矿物质）</w:t>
            </w:r>
          </w:p>
        </w:tc>
        <w:tc>
          <w:tcPr>
            <w:tcW w:w="6345" w:type="dxa"/>
            <w:shd w:val="clear" w:color="auto" w:fill="auto"/>
            <w:vAlign w:val="center"/>
          </w:tcPr>
          <w:p w14:paraId="77B964EA">
            <w:pPr>
              <w:pStyle w:val="8"/>
              <w:spacing w:line="240" w:lineRule="exact"/>
              <w:ind w:firstLine="0"/>
              <w:rPr>
                <w:color w:val="333333"/>
                <w:kern w:val="0"/>
                <w:szCs w:val="21"/>
              </w:rPr>
            </w:pPr>
            <w:r>
              <w:rPr>
                <w:rFonts w:hint="eastAsia"/>
                <w:color w:val="333333"/>
                <w:kern w:val="0"/>
                <w:szCs w:val="21"/>
              </w:rPr>
              <w:t>常温，供、回水压力差：250～400kPa，φ15软水管</w:t>
            </w:r>
          </w:p>
        </w:tc>
      </w:tr>
      <w:tr w14:paraId="51C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01" w:type="dxa"/>
            <w:shd w:val="clear" w:color="auto" w:fill="auto"/>
            <w:vAlign w:val="center"/>
          </w:tcPr>
          <w:p w14:paraId="12D5CB53">
            <w:pPr>
              <w:pStyle w:val="8"/>
              <w:ind w:firstLine="0"/>
              <w:rPr>
                <w:color w:val="333333"/>
                <w:kern w:val="0"/>
                <w:sz w:val="24"/>
                <w:szCs w:val="24"/>
              </w:rPr>
            </w:pPr>
            <w:r>
              <w:rPr>
                <w:rFonts w:hint="eastAsia"/>
                <w:color w:val="333333"/>
                <w:kern w:val="0"/>
                <w:sz w:val="24"/>
                <w:szCs w:val="24"/>
              </w:rPr>
              <w:t>环境温度要求</w:t>
            </w:r>
          </w:p>
        </w:tc>
        <w:tc>
          <w:tcPr>
            <w:tcW w:w="6345" w:type="dxa"/>
            <w:shd w:val="clear" w:color="auto" w:fill="auto"/>
            <w:vAlign w:val="center"/>
          </w:tcPr>
          <w:p w14:paraId="40060474">
            <w:pPr>
              <w:pStyle w:val="8"/>
              <w:spacing w:line="240" w:lineRule="exact"/>
              <w:ind w:firstLine="0"/>
              <w:rPr>
                <w:color w:val="333333"/>
                <w:kern w:val="0"/>
                <w:szCs w:val="21"/>
              </w:rPr>
            </w:pPr>
            <w:r>
              <w:rPr>
                <w:rFonts w:hint="eastAsia"/>
                <w:color w:val="333333"/>
                <w:kern w:val="0"/>
                <w:szCs w:val="21"/>
              </w:rPr>
              <w:t>10-40℃</w:t>
            </w:r>
          </w:p>
        </w:tc>
      </w:tr>
      <w:tr w14:paraId="626A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01" w:type="dxa"/>
            <w:shd w:val="clear" w:color="auto" w:fill="auto"/>
            <w:vAlign w:val="center"/>
          </w:tcPr>
          <w:p w14:paraId="0A8568FC">
            <w:pPr>
              <w:pStyle w:val="8"/>
              <w:ind w:firstLine="0"/>
              <w:rPr>
                <w:color w:val="333333"/>
                <w:kern w:val="0"/>
                <w:sz w:val="24"/>
                <w:szCs w:val="24"/>
              </w:rPr>
            </w:pPr>
            <w:r>
              <w:rPr>
                <w:rFonts w:hint="eastAsia"/>
                <w:color w:val="333333"/>
                <w:kern w:val="0"/>
                <w:sz w:val="24"/>
                <w:szCs w:val="24"/>
              </w:rPr>
              <w:t>空气相对湿度要求</w:t>
            </w:r>
          </w:p>
        </w:tc>
        <w:tc>
          <w:tcPr>
            <w:tcW w:w="6345" w:type="dxa"/>
            <w:shd w:val="clear" w:color="auto" w:fill="auto"/>
            <w:vAlign w:val="center"/>
          </w:tcPr>
          <w:p w14:paraId="7A405A40">
            <w:pPr>
              <w:pStyle w:val="8"/>
              <w:spacing w:line="240" w:lineRule="exact"/>
              <w:ind w:firstLine="0"/>
              <w:rPr>
                <w:color w:val="333333"/>
                <w:kern w:val="0"/>
                <w:szCs w:val="21"/>
              </w:rPr>
            </w:pPr>
            <w:r>
              <w:rPr>
                <w:rFonts w:hint="eastAsia"/>
                <w:color w:val="333333"/>
                <w:kern w:val="0"/>
                <w:szCs w:val="21"/>
              </w:rPr>
              <w:t>Max 80%，无凝露</w:t>
            </w:r>
          </w:p>
        </w:tc>
      </w:tr>
    </w:tbl>
    <w:p w14:paraId="1195F059">
      <w:pPr>
        <w:widowControl/>
        <w:adjustRightInd w:val="0"/>
        <w:snapToGrid w:val="0"/>
        <w:spacing w:line="480" w:lineRule="exact"/>
        <w:ind w:firstLine="480" w:firstLineChars="200"/>
        <w:jc w:val="left"/>
        <w:rPr>
          <w:kern w:val="0"/>
          <w:sz w:val="24"/>
          <w:lang w:val="zh-CN"/>
        </w:rPr>
      </w:pPr>
    </w:p>
    <w:p w14:paraId="284ADDCE">
      <w:pPr>
        <w:spacing w:line="360" w:lineRule="auto"/>
        <w:ind w:firstLine="482" w:firstLineChars="200"/>
        <w:rPr>
          <w:rFonts w:hint="eastAsia" w:ascii="宋体" w:hAnsi="宋体" w:cs="宋体"/>
          <w:sz w:val="24"/>
        </w:rPr>
      </w:pPr>
      <w:r>
        <w:rPr>
          <w:rFonts w:hint="eastAsia" w:ascii="宋体" w:hAnsi="宋体" w:cs="宋体"/>
          <w:b/>
          <w:bCs/>
          <w:sz w:val="24"/>
        </w:rPr>
        <w:t>2、采购项目交付时间：</w:t>
      </w:r>
      <w:r>
        <w:rPr>
          <w:rFonts w:hint="eastAsia" w:ascii="宋体" w:hAnsi="宋体" w:cs="宋体"/>
          <w:sz w:val="24"/>
        </w:rPr>
        <w:t>80 个工作日（以收到预付款后算起）</w:t>
      </w:r>
    </w:p>
    <w:p w14:paraId="7107575D">
      <w:pPr>
        <w:spacing w:line="360" w:lineRule="auto"/>
        <w:ind w:firstLine="482" w:firstLineChars="200"/>
        <w:rPr>
          <w:rFonts w:hint="eastAsia" w:ascii="宋体" w:hAnsi="宋体" w:cs="宋体"/>
          <w:sz w:val="24"/>
        </w:rPr>
      </w:pPr>
      <w:r>
        <w:rPr>
          <w:rFonts w:hint="eastAsia" w:ascii="宋体" w:hAnsi="宋体" w:cs="宋体"/>
          <w:b/>
          <w:bCs/>
          <w:sz w:val="24"/>
        </w:rPr>
        <w:t>3、采购项目交付地点：</w:t>
      </w:r>
      <w:r>
        <w:rPr>
          <w:rFonts w:hint="eastAsia" w:ascii="宋体" w:hAnsi="宋体" w:cs="宋体"/>
          <w:sz w:val="24"/>
        </w:rPr>
        <w:t>东南大学南通海洋高等研究院。</w:t>
      </w:r>
    </w:p>
    <w:p w14:paraId="70E3ED3C">
      <w:pPr>
        <w:spacing w:line="360" w:lineRule="auto"/>
        <w:ind w:firstLine="482" w:firstLineChars="200"/>
        <w:rPr>
          <w:rFonts w:hint="eastAsia" w:ascii="宋体" w:hAnsi="宋体" w:cs="宋体"/>
          <w:sz w:val="24"/>
        </w:rPr>
      </w:pPr>
      <w:r>
        <w:rPr>
          <w:rFonts w:hint="eastAsia" w:ascii="宋体" w:hAnsi="宋体" w:cs="宋体"/>
          <w:b/>
          <w:bCs/>
          <w:sz w:val="24"/>
        </w:rPr>
        <w:t>二、采购标的需满足的服务标准、期限、效率等要求</w:t>
      </w:r>
    </w:p>
    <w:p w14:paraId="0E635250">
      <w:pPr>
        <w:spacing w:line="360" w:lineRule="auto"/>
        <w:ind w:firstLine="482" w:firstLineChars="200"/>
        <w:jc w:val="left"/>
        <w:rPr>
          <w:rFonts w:hint="eastAsia" w:ascii="宋体" w:hAnsi="宋体" w:cs="宋体"/>
          <w:sz w:val="24"/>
          <w:lang w:val="zh-CN"/>
        </w:rPr>
      </w:pPr>
      <w:r>
        <w:rPr>
          <w:rFonts w:hint="eastAsia" w:ascii="宋体" w:hAnsi="宋体" w:cs="宋体"/>
          <w:b/>
          <w:bCs/>
          <w:sz w:val="24"/>
          <w:lang w:val="zh-CN"/>
        </w:rPr>
        <w:t>1、免费质保期限：</w:t>
      </w:r>
      <w:r>
        <w:rPr>
          <w:rFonts w:hint="eastAsia" w:ascii="宋体" w:hAnsi="宋体" w:cs="宋体"/>
          <w:sz w:val="24"/>
          <w:lang w:val="zh-CN"/>
        </w:rPr>
        <w:t>货物自验收合格日起质保期</w:t>
      </w:r>
      <w:r>
        <w:rPr>
          <w:rFonts w:hint="eastAsia" w:ascii="宋体" w:hAnsi="宋体" w:cs="宋体"/>
          <w:sz w:val="24"/>
          <w:lang w:val="en-US" w:eastAsia="zh-CN"/>
        </w:rPr>
        <w:t>2</w:t>
      </w:r>
      <w:r>
        <w:rPr>
          <w:rFonts w:hint="eastAsia" w:ascii="宋体" w:hAnsi="宋体" w:cs="宋体"/>
          <w:sz w:val="24"/>
          <w:lang w:val="zh-CN"/>
        </w:rPr>
        <w:t>年。成交供应商应与原厂商共同提供相应承诺。</w:t>
      </w:r>
    </w:p>
    <w:p w14:paraId="7AAB3956">
      <w:pPr>
        <w:spacing w:line="360" w:lineRule="auto"/>
        <w:ind w:firstLine="482" w:firstLineChars="200"/>
        <w:rPr>
          <w:rFonts w:ascii="宋体" w:hAnsi="宋体" w:cs="宋体"/>
          <w:b/>
          <w:bCs/>
          <w:sz w:val="24"/>
        </w:rPr>
      </w:pPr>
      <w:r>
        <w:rPr>
          <w:rFonts w:hint="eastAsia" w:ascii="宋体" w:hAnsi="宋体" w:cs="宋体"/>
          <w:b/>
          <w:bCs/>
          <w:sz w:val="24"/>
        </w:rPr>
        <w:t>2、售后服务及其他（含安装、调试、培训、维护等</w:t>
      </w:r>
      <w:r>
        <w:rPr>
          <w:rFonts w:ascii="宋体" w:hAnsi="宋体" w:cs="宋体"/>
          <w:b/>
          <w:bCs/>
          <w:sz w:val="24"/>
        </w:rPr>
        <w:t>）</w:t>
      </w:r>
      <w:r>
        <w:rPr>
          <w:rFonts w:hint="eastAsia" w:ascii="宋体" w:hAnsi="宋体" w:cs="宋体"/>
          <w:b/>
          <w:bCs/>
          <w:sz w:val="24"/>
        </w:rPr>
        <w:t>：</w:t>
      </w:r>
    </w:p>
    <w:p w14:paraId="6F934208">
      <w:pPr>
        <w:spacing w:line="360" w:lineRule="auto"/>
        <w:ind w:firstLine="480" w:firstLineChars="200"/>
        <w:rPr>
          <w:rFonts w:hint="eastAsia" w:ascii="宋体" w:hAnsi="宋体" w:cs="宋体"/>
          <w:sz w:val="24"/>
        </w:rPr>
      </w:pPr>
      <w:r>
        <w:rPr>
          <w:rFonts w:hint="eastAsia" w:ascii="宋体" w:hAnsi="宋体" w:cs="宋体"/>
          <w:sz w:val="24"/>
        </w:rPr>
        <w:t xml:space="preserve">2.1、产品质保期为自相应货物验收合格之日起 </w:t>
      </w:r>
      <w:r>
        <w:rPr>
          <w:rFonts w:hint="eastAsia" w:ascii="宋体" w:hAnsi="宋体" w:cs="宋体"/>
          <w:sz w:val="24"/>
          <w:lang w:val="en-US" w:eastAsia="zh-CN"/>
        </w:rPr>
        <w:t>24</w:t>
      </w:r>
      <w:r>
        <w:rPr>
          <w:rFonts w:hint="eastAsia" w:ascii="宋体" w:hAnsi="宋体" w:cs="宋体"/>
          <w:sz w:val="24"/>
        </w:rPr>
        <w:t xml:space="preserve"> 个月或发货到用户现场之日起 </w:t>
      </w:r>
      <w:r>
        <w:rPr>
          <w:rFonts w:hint="eastAsia" w:ascii="宋体" w:hAnsi="宋体" w:cs="宋体"/>
          <w:sz w:val="24"/>
          <w:lang w:val="en-US" w:eastAsia="zh-CN"/>
        </w:rPr>
        <w:t>36</w:t>
      </w:r>
      <w:r>
        <w:rPr>
          <w:rFonts w:hint="eastAsia" w:ascii="宋体" w:hAnsi="宋体" w:cs="宋体"/>
          <w:sz w:val="24"/>
        </w:rPr>
        <w:t xml:space="preserve"> 个月，二者中先到者为准；</w:t>
      </w:r>
    </w:p>
    <w:p w14:paraId="08CDE4F8">
      <w:pPr>
        <w:spacing w:line="360" w:lineRule="auto"/>
        <w:ind w:firstLine="480" w:firstLineChars="200"/>
        <w:rPr>
          <w:rFonts w:hint="eastAsia" w:ascii="宋体" w:hAnsi="宋体" w:cs="宋体"/>
          <w:sz w:val="24"/>
        </w:rPr>
      </w:pPr>
      <w:r>
        <w:rPr>
          <w:rFonts w:hint="eastAsia" w:ascii="宋体" w:hAnsi="宋体" w:cs="宋体"/>
          <w:sz w:val="24"/>
        </w:rPr>
        <w:t>2.2、质保期内，正常使用设备产生的故障，供方提供免费上门服务。期间内若因用户使用、管理不当所造成的损失由用户承担，本公司提供有偿服务；</w:t>
      </w:r>
    </w:p>
    <w:p w14:paraId="17F10F32">
      <w:pPr>
        <w:spacing w:line="360" w:lineRule="auto"/>
        <w:ind w:firstLine="480" w:firstLineChars="200"/>
        <w:rPr>
          <w:rFonts w:hint="eastAsia" w:ascii="宋体" w:hAnsi="宋体" w:cs="宋体"/>
          <w:sz w:val="24"/>
        </w:rPr>
      </w:pPr>
      <w:r>
        <w:rPr>
          <w:rFonts w:hint="eastAsia" w:ascii="宋体" w:hAnsi="宋体" w:cs="宋体"/>
          <w:sz w:val="24"/>
        </w:rPr>
        <w:t>2.3、质保期满后，供方为产品提供终身有偿维修服务，并只收取所更换的材料成本费（若要上门安装需要收取人工与交通费），除此不收取其他费用；</w:t>
      </w:r>
    </w:p>
    <w:p w14:paraId="31342AF1">
      <w:pPr>
        <w:spacing w:line="360" w:lineRule="auto"/>
        <w:ind w:firstLine="482" w:firstLineChars="200"/>
        <w:rPr>
          <w:rFonts w:ascii="宋体" w:hAnsi="宋体" w:cs="宋体"/>
          <w:b/>
          <w:bCs/>
          <w:sz w:val="24"/>
        </w:rPr>
      </w:pPr>
      <w:r>
        <w:rPr>
          <w:rFonts w:hint="eastAsia" w:ascii="宋体" w:hAnsi="宋体" w:cs="宋体"/>
          <w:b/>
          <w:bCs/>
          <w:sz w:val="24"/>
        </w:rPr>
        <w:t>三、采购标的验收标准</w:t>
      </w:r>
    </w:p>
    <w:p w14:paraId="09534A27">
      <w:pPr>
        <w:spacing w:line="360" w:lineRule="auto"/>
        <w:ind w:firstLine="480" w:firstLineChars="200"/>
        <w:rPr>
          <w:rFonts w:hint="eastAsia" w:ascii="宋体" w:hAnsi="宋体" w:cs="宋体"/>
          <w:sz w:val="24"/>
        </w:rPr>
      </w:pPr>
      <w:r>
        <w:rPr>
          <w:rFonts w:hint="eastAsia" w:ascii="宋体" w:hAnsi="宋体" w:cs="宋体"/>
          <w:sz w:val="24"/>
        </w:rPr>
        <w:t xml:space="preserve">1、成交供应商必须严格按照投标时所投原材料产品品牌（如有）进行生产、加工、供货，提供货物绝不低于谈判文件规定的规格和材质要求，如果采购人发现一件产品不符合国家标准及采购文件要求，成交供应商需无条件退货，并按照合同无条件支付违约金给采购人，违约金从成交供应商提交的履约保证金或采购人应付成交供应商的任何款项中支付。同时采购人有权终止合同，并保留追究成交供应商责任的权利。 </w:t>
      </w:r>
    </w:p>
    <w:p w14:paraId="7398A15F">
      <w:pPr>
        <w:spacing w:line="360" w:lineRule="auto"/>
        <w:ind w:firstLine="480" w:firstLineChars="200"/>
        <w:rPr>
          <w:rFonts w:hint="eastAsia" w:ascii="宋体" w:hAnsi="宋体" w:cs="宋体"/>
          <w:sz w:val="24"/>
        </w:rPr>
      </w:pPr>
      <w:r>
        <w:rPr>
          <w:rFonts w:hint="eastAsia" w:ascii="宋体" w:hAnsi="宋体" w:cs="宋体"/>
          <w:sz w:val="24"/>
        </w:rPr>
        <w:t xml:space="preserve">2、在交货时必须原包装现场拆封验收。采购人有权邀请相关质检部门和专家进行现场抽检，并出具书面检验报告，相关检测费用及专家费用等由成交供应商承担。采购人及采购人指定质检部门和专家如对供货产品进行破坏性检测，成交供应商必须无偿补全对应产品。若检验检测合格，采购人组织整个项目的验收，由采购人与成交供应商双方共同对标的物的数量、规格、外观、质量、性能、随机备件备品、装箱单、随机资料、包装等进行详细而全面的检验。每个产品必须出具生产厂商的出厂产品检验合格证。验收后，出具验收意见。 </w:t>
      </w:r>
    </w:p>
    <w:p w14:paraId="240A57F9">
      <w:pPr>
        <w:spacing w:line="360" w:lineRule="auto"/>
        <w:ind w:firstLine="480" w:firstLineChars="200"/>
        <w:rPr>
          <w:rFonts w:hint="eastAsia" w:ascii="宋体" w:hAnsi="宋体" w:cs="宋体"/>
          <w:sz w:val="24"/>
        </w:rPr>
      </w:pPr>
      <w:r>
        <w:rPr>
          <w:rFonts w:hint="eastAsia" w:ascii="宋体" w:hAnsi="宋体" w:cs="宋体"/>
          <w:sz w:val="24"/>
        </w:rPr>
        <w:t xml:space="preserve">3、验收标准：成交供应商提供的货物必须符合我国最新颁布的与之相关的技术规范与标准，同时必须满足谈判文件中所列规格、具体配置、技术条件及功能要求和成交供应商承诺的其它指标及有关规定由采购人验收通过。 </w:t>
      </w:r>
    </w:p>
    <w:p w14:paraId="13023AC9">
      <w:pPr>
        <w:spacing w:line="360" w:lineRule="auto"/>
        <w:ind w:firstLine="480" w:firstLineChars="200"/>
        <w:rPr>
          <w:rFonts w:hint="eastAsia" w:ascii="宋体" w:hAnsi="宋体" w:cs="宋体"/>
          <w:sz w:val="24"/>
        </w:rPr>
      </w:pPr>
      <w:r>
        <w:rPr>
          <w:rFonts w:hint="eastAsia" w:ascii="宋体" w:hAnsi="宋体" w:cs="宋体"/>
          <w:sz w:val="24"/>
        </w:rPr>
        <w:t xml:space="preserve">4、在免费质保期内，如果标的物的数量、质量或规格与合同不符或证实标的物是具有缺陷的，包括潜在缺陷或使用不符合要求的材料等，采购人将以书面形式通知成交供应商并提出索赔。 </w:t>
      </w:r>
    </w:p>
    <w:p w14:paraId="402C1369">
      <w:pPr>
        <w:spacing w:line="360" w:lineRule="auto"/>
        <w:ind w:firstLine="480" w:firstLineChars="200"/>
        <w:rPr>
          <w:rFonts w:hint="eastAsia" w:ascii="宋体" w:hAnsi="宋体" w:cs="宋体"/>
          <w:sz w:val="24"/>
        </w:rPr>
      </w:pPr>
      <w:r>
        <w:rPr>
          <w:rFonts w:hint="eastAsia" w:ascii="宋体" w:hAnsi="宋体" w:cs="宋体"/>
          <w:sz w:val="24"/>
        </w:rPr>
        <w:t>5、验收期限在安装调试结束30个工作日内进行。特殊情况需延长的，双方应特别约定。</w:t>
      </w:r>
    </w:p>
    <w:p w14:paraId="324B8775">
      <w:pPr>
        <w:spacing w:line="360" w:lineRule="auto"/>
        <w:ind w:firstLine="480" w:firstLineChars="200"/>
        <w:rPr>
          <w:rFonts w:hint="eastAsia" w:ascii="宋体" w:hAnsi="宋体" w:cs="宋体"/>
          <w:sz w:val="24"/>
        </w:rPr>
      </w:pPr>
      <w:r>
        <w:rPr>
          <w:rFonts w:hint="eastAsia" w:ascii="宋体" w:hAnsi="宋体" w:cs="宋体"/>
          <w:sz w:val="24"/>
        </w:rPr>
        <w:t>6、如双方对验收结果有分歧，则以南通市产品质量监督检验所的检验结果为准，检验费由有过失的一方支付。</w:t>
      </w:r>
    </w:p>
    <w:p w14:paraId="2A3520AD">
      <w:pPr>
        <w:spacing w:line="360" w:lineRule="auto"/>
        <w:ind w:firstLine="482" w:firstLineChars="200"/>
        <w:rPr>
          <w:rFonts w:ascii="宋体" w:hAnsi="宋体" w:cs="宋体"/>
          <w:b/>
          <w:bCs/>
          <w:sz w:val="24"/>
        </w:rPr>
      </w:pPr>
      <w:r>
        <w:rPr>
          <w:rFonts w:hint="eastAsia" w:ascii="宋体" w:hAnsi="宋体" w:cs="宋体"/>
          <w:b/>
          <w:bCs/>
          <w:sz w:val="24"/>
        </w:rPr>
        <w:t>四、采购标的付款方式</w:t>
      </w:r>
    </w:p>
    <w:p w14:paraId="4A9AC2CD">
      <w:pPr>
        <w:spacing w:line="360" w:lineRule="auto"/>
        <w:ind w:firstLine="480" w:firstLineChars="200"/>
        <w:rPr>
          <w:rFonts w:ascii="宋体" w:hAnsi="宋体" w:cs="宋体"/>
          <w:sz w:val="24"/>
        </w:rPr>
      </w:pPr>
      <w:r>
        <w:rPr>
          <w:rFonts w:hint="eastAsia" w:ascii="宋体" w:hAnsi="宋体" w:cs="宋体"/>
          <w:sz w:val="24"/>
        </w:rPr>
        <w:t xml:space="preserve">合同签定后支付 </w:t>
      </w:r>
      <w:r>
        <w:rPr>
          <w:rFonts w:hint="eastAsia" w:ascii="宋体" w:hAnsi="宋体" w:cs="宋体"/>
          <w:sz w:val="24"/>
          <w:lang w:val="en-US" w:eastAsia="zh-CN"/>
        </w:rPr>
        <w:t>3</w:t>
      </w:r>
      <w:r>
        <w:rPr>
          <w:rFonts w:hint="eastAsia" w:ascii="宋体" w:hAnsi="宋体" w:cs="宋体"/>
          <w:sz w:val="24"/>
        </w:rPr>
        <w:t xml:space="preserve">0%预付款，验收合格后发货前支付 </w:t>
      </w:r>
      <w:r>
        <w:rPr>
          <w:rFonts w:hint="eastAsia" w:ascii="宋体" w:hAnsi="宋体" w:cs="宋体"/>
          <w:sz w:val="24"/>
          <w:lang w:val="en-US" w:eastAsia="zh-CN"/>
        </w:rPr>
        <w:t>50</w:t>
      </w:r>
      <w:r>
        <w:rPr>
          <w:rFonts w:hint="eastAsia" w:ascii="宋体" w:hAnsi="宋体" w:cs="宋体"/>
          <w:sz w:val="24"/>
        </w:rPr>
        <w:t>%货款</w:t>
      </w:r>
      <w:r>
        <w:rPr>
          <w:rFonts w:hint="eastAsia" w:ascii="宋体" w:hAnsi="宋体" w:cs="宋体"/>
          <w:sz w:val="24"/>
          <w:lang w:eastAsia="zh-CN"/>
        </w:rPr>
        <w:t>，</w:t>
      </w:r>
      <w:r>
        <w:rPr>
          <w:rFonts w:hint="eastAsia" w:ascii="宋体" w:hAnsi="宋体" w:cs="宋体"/>
          <w:sz w:val="24"/>
          <w:lang w:val="en-US" w:eastAsia="zh-CN"/>
        </w:rPr>
        <w:t>货到装机验收合格后支付20%货款</w:t>
      </w:r>
      <w:r>
        <w:rPr>
          <w:rFonts w:hint="eastAsia" w:ascii="宋体" w:hAnsi="宋体" w:cs="宋体"/>
          <w:sz w:val="24"/>
        </w:rPr>
        <w:t>。</w:t>
      </w:r>
    </w:p>
    <w:p w14:paraId="6C6DE3D4">
      <w:pPr>
        <w:spacing w:line="360" w:lineRule="auto"/>
        <w:ind w:firstLine="480" w:firstLineChars="200"/>
        <w:rPr>
          <w:rFonts w:hint="eastAsia" w:ascii="宋体" w:hAnsi="宋体" w:cs="宋体"/>
          <w:sz w:val="24"/>
        </w:rPr>
      </w:pPr>
      <w:r>
        <w:rPr>
          <w:rFonts w:hint="eastAsia" w:ascii="宋体" w:hAnsi="宋体" w:cs="宋体"/>
          <w:sz w:val="24"/>
        </w:rPr>
        <w:t>因成交供应商发票错误、迟延等问题而导致采购人无法付款的，采购人不承担责任。</w:t>
      </w:r>
    </w:p>
    <w:p w14:paraId="791BEBAD">
      <w:pPr>
        <w:spacing w:line="360" w:lineRule="auto"/>
        <w:ind w:firstLine="482" w:firstLineChars="200"/>
        <w:rPr>
          <w:rFonts w:hint="eastAsia" w:ascii="宋体" w:hAnsi="宋体" w:cs="宋体"/>
          <w:b/>
          <w:bCs/>
          <w:sz w:val="24"/>
        </w:rPr>
      </w:pPr>
      <w:r>
        <w:rPr>
          <w:rFonts w:hint="eastAsia" w:ascii="宋体" w:hAnsi="宋体" w:cs="宋体"/>
          <w:b/>
          <w:bCs/>
          <w:sz w:val="24"/>
        </w:rPr>
        <w:t>五、其他要求</w:t>
      </w:r>
    </w:p>
    <w:p w14:paraId="7CD90974">
      <w:pPr>
        <w:spacing w:line="360" w:lineRule="auto"/>
        <w:ind w:firstLine="480" w:firstLineChars="200"/>
        <w:rPr>
          <w:rFonts w:hint="eastAsia" w:ascii="宋体" w:hAnsi="宋体" w:cs="宋体"/>
          <w:sz w:val="24"/>
        </w:rPr>
      </w:pPr>
      <w:r>
        <w:rPr>
          <w:rFonts w:hint="eastAsia" w:ascii="宋体" w:hAnsi="宋体" w:cs="宋体"/>
          <w:sz w:val="24"/>
        </w:rPr>
        <w:t xml:space="preserve">1、签定合同日期：自中标（成交）公告结束后15日内按时签约。 </w:t>
      </w:r>
    </w:p>
    <w:p w14:paraId="79928C3C">
      <w:pPr>
        <w:spacing w:line="360" w:lineRule="auto"/>
        <w:ind w:firstLine="480" w:firstLineChars="200"/>
        <w:rPr>
          <w:rFonts w:hint="eastAsia" w:ascii="宋体" w:hAnsi="宋体" w:cs="宋体"/>
          <w:sz w:val="24"/>
        </w:rPr>
      </w:pPr>
      <w:r>
        <w:rPr>
          <w:rFonts w:hint="eastAsia" w:ascii="宋体" w:hAnsi="宋体" w:cs="宋体"/>
          <w:sz w:val="24"/>
        </w:rPr>
        <w:t>2、成交供应商的最终供货如不能满足谈判文件要求的，采购人有权取消其成交资格。</w:t>
      </w:r>
    </w:p>
    <w:p w14:paraId="7AA6B4FA">
      <w:pPr>
        <w:pStyle w:val="28"/>
        <w:rPr>
          <w:rFonts w:ascii="宋体" w:hAnsi="宋体" w:cs="宋体"/>
          <w:b/>
          <w:w w:val="80"/>
          <w:kern w:val="44"/>
          <w:sz w:val="44"/>
          <w:szCs w:val="44"/>
        </w:rPr>
      </w:pPr>
    </w:p>
    <w:p w14:paraId="32F51D23">
      <w:pPr>
        <w:pStyle w:val="28"/>
        <w:rPr>
          <w:rFonts w:ascii="宋体" w:hAnsi="宋体" w:cs="宋体"/>
          <w:b/>
          <w:w w:val="80"/>
          <w:kern w:val="44"/>
          <w:sz w:val="44"/>
          <w:szCs w:val="44"/>
        </w:rPr>
      </w:pPr>
    </w:p>
    <w:p w14:paraId="19536A25">
      <w:pPr>
        <w:rPr>
          <w:rFonts w:ascii="仿宋_GB2312" w:eastAsia="仿宋_GB2312"/>
          <w:b/>
          <w:bCs/>
          <w:sz w:val="36"/>
          <w:szCs w:val="36"/>
          <w:lang w:val="zh-CN"/>
        </w:rPr>
      </w:pPr>
    </w:p>
    <w:p w14:paraId="0261E9C9">
      <w:pPr>
        <w:rPr>
          <w:rFonts w:ascii="仿宋_GB2312" w:eastAsia="仿宋_GB2312"/>
          <w:b/>
          <w:bCs/>
          <w:sz w:val="36"/>
          <w:szCs w:val="36"/>
          <w:lang w:val="zh-CN"/>
        </w:rPr>
      </w:pPr>
      <w:r>
        <w:rPr>
          <w:rFonts w:hint="eastAsia" w:ascii="仿宋_GB2312" w:eastAsia="仿宋_GB2312"/>
          <w:b/>
          <w:bCs/>
          <w:sz w:val="36"/>
          <w:szCs w:val="36"/>
          <w:lang w:val="zh-CN"/>
        </w:rPr>
        <w:br w:type="page"/>
      </w:r>
    </w:p>
    <w:p w14:paraId="37BD449A">
      <w:pPr>
        <w:autoSpaceDE w:val="0"/>
        <w:autoSpaceDN w:val="0"/>
        <w:adjustRightInd w:val="0"/>
        <w:snapToGrid w:val="0"/>
        <w:spacing w:line="300" w:lineRule="auto"/>
        <w:jc w:val="center"/>
        <w:rPr>
          <w:rFonts w:ascii="仿宋_GB2312" w:eastAsia="仿宋_GB2312"/>
          <w:b/>
          <w:bCs/>
          <w:sz w:val="36"/>
          <w:szCs w:val="36"/>
          <w:lang w:val="zh-CN"/>
        </w:rPr>
      </w:pPr>
      <w:r>
        <w:rPr>
          <w:rFonts w:hint="eastAsia" w:ascii="仿宋_GB2312" w:eastAsia="仿宋_GB2312"/>
          <w:b/>
          <w:bCs/>
          <w:sz w:val="36"/>
          <w:szCs w:val="36"/>
          <w:lang w:val="zh-CN"/>
        </w:rPr>
        <w:t>第四部分  评审程序和内容</w:t>
      </w:r>
    </w:p>
    <w:p w14:paraId="1232ECB4">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14:paraId="3909ED39">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采购人代表和评审专家组成</w:t>
      </w:r>
      <w:r>
        <w:rPr>
          <w:kern w:val="0"/>
          <w:sz w:val="24"/>
          <w:lang w:val="zh-CN"/>
        </w:rPr>
        <w:t>。</w:t>
      </w:r>
      <w:r>
        <w:rPr>
          <w:rFonts w:hint="eastAsia" w:ascii="宋体" w:hAnsi="宋体"/>
          <w:bCs/>
          <w:sz w:val="24"/>
        </w:rPr>
        <w:t>评审专家在专家库中随机抽取。</w:t>
      </w:r>
    </w:p>
    <w:p w14:paraId="1E5A8F50">
      <w:pPr>
        <w:spacing w:line="480" w:lineRule="exact"/>
        <w:ind w:firstLine="482" w:firstLineChars="200"/>
        <w:rPr>
          <w:b/>
          <w:kern w:val="0"/>
          <w:sz w:val="24"/>
          <w:lang w:val="zh-CN"/>
        </w:rPr>
      </w:pPr>
      <w:r>
        <w:rPr>
          <w:b/>
          <w:kern w:val="0"/>
          <w:sz w:val="24"/>
          <w:lang w:val="zh-CN"/>
        </w:rPr>
        <w:t>2、竞争性磋商小组的职责：</w:t>
      </w:r>
    </w:p>
    <w:p w14:paraId="52220023">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评审专家应当遵守评审工作纪律，不得泄露评审情况和评审中获悉的商业秘密。</w:t>
      </w:r>
    </w:p>
    <w:p w14:paraId="3B454361">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磋商小组在评审过程中发现供应商有行贿、提供虚假材料或者串通等违法行为的，应当及时向财政部门报告。</w:t>
      </w:r>
    </w:p>
    <w:p w14:paraId="0D21CC9D">
      <w:pPr>
        <w:pStyle w:val="85"/>
        <w:snapToGrid w:val="0"/>
        <w:spacing w:line="48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lang w:val="zh-CN"/>
        </w:rPr>
        <w:t>评审专家在评审过程中受到非法干涉的，应当及时向财政、监察等部门举报。</w:t>
      </w:r>
    </w:p>
    <w:p w14:paraId="634AD17C">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A8DFC33">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磋商文件内容违反国家有关强制性规定的，磋商小组应当停止评审并向采购人或者采购代理机构说明情况。</w:t>
      </w:r>
    </w:p>
    <w:p w14:paraId="39849F3B">
      <w:pPr>
        <w:pStyle w:val="85"/>
        <w:snapToGrid w:val="0"/>
        <w:spacing w:line="480" w:lineRule="exact"/>
        <w:ind w:firstLine="482" w:firstLineChars="200"/>
        <w:contextualSpacing/>
        <w:rPr>
          <w:rFonts w:ascii="Times New Roman" w:hAnsi="Times New Roman" w:eastAsia="宋体"/>
          <w:b/>
          <w:sz w:val="24"/>
          <w:szCs w:val="24"/>
          <w:lang w:val="zh-CN"/>
        </w:rPr>
      </w:pPr>
      <w:r>
        <w:rPr>
          <w:rFonts w:ascii="Times New Roman" w:hAnsi="Times New Roman" w:eastAsia="宋体"/>
          <w:b/>
          <w:sz w:val="24"/>
          <w:szCs w:val="24"/>
          <w:lang w:val="zh-CN"/>
        </w:rPr>
        <w:t>3、竞争性磋商小组成员的义务：</w:t>
      </w:r>
    </w:p>
    <w:p w14:paraId="55735C47">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遵纪守法，客观、公正、廉洁地履行职责；根据采购文件的规定独立进行评审，对个人的评审意见承担法律责任；参与</w:t>
      </w:r>
      <w:r>
        <w:rPr>
          <w:rFonts w:hint="eastAsia" w:ascii="Times New Roman" w:hAnsi="Times New Roman" w:eastAsia="宋体"/>
          <w:sz w:val="24"/>
          <w:szCs w:val="24"/>
          <w:lang w:val="zh-CN"/>
        </w:rPr>
        <w:t>完成</w:t>
      </w:r>
      <w:r>
        <w:rPr>
          <w:rFonts w:ascii="Times New Roman" w:hAnsi="Times New Roman" w:eastAsia="宋体"/>
          <w:sz w:val="24"/>
          <w:szCs w:val="24"/>
          <w:lang w:val="zh-CN"/>
        </w:rPr>
        <w:t>评审报告；配合采购人、</w:t>
      </w:r>
      <w:r>
        <w:rPr>
          <w:rFonts w:hint="eastAsia" w:ascii="Times New Roman" w:hAnsi="Times New Roman" w:eastAsia="宋体"/>
          <w:sz w:val="24"/>
          <w:szCs w:val="24"/>
          <w:lang w:val="zh-CN"/>
        </w:rPr>
        <w:t>采购代理机构</w:t>
      </w:r>
      <w:r>
        <w:rPr>
          <w:rFonts w:ascii="Times New Roman" w:hAnsi="Times New Roman" w:eastAsia="宋体"/>
          <w:sz w:val="24"/>
          <w:szCs w:val="24"/>
          <w:lang w:val="zh-CN"/>
        </w:rPr>
        <w:t>答复供应商提出的质疑；配合财政部门的投诉处理和监督检查工作。</w:t>
      </w:r>
    </w:p>
    <w:p w14:paraId="6E0C4FDC">
      <w:pPr>
        <w:pStyle w:val="85"/>
        <w:snapToGrid w:val="0"/>
        <w:spacing w:line="480" w:lineRule="exact"/>
        <w:ind w:firstLine="482" w:firstLineChars="200"/>
        <w:contextualSpacing/>
        <w:rPr>
          <w:rFonts w:ascii="Times New Roman" w:hAnsi="Times New Roman" w:eastAsia="宋体"/>
          <w:b/>
          <w:sz w:val="24"/>
          <w:szCs w:val="24"/>
          <w:lang w:val="zh-CN"/>
        </w:rPr>
      </w:pPr>
      <w:r>
        <w:rPr>
          <w:rFonts w:ascii="Times New Roman" w:hAnsi="Times New Roman" w:eastAsia="宋体"/>
          <w:b/>
          <w:sz w:val="24"/>
          <w:szCs w:val="24"/>
          <w:lang w:val="zh-CN"/>
        </w:rPr>
        <w:t>二、供应商参加磋商活动。</w:t>
      </w:r>
    </w:p>
    <w:p w14:paraId="634DE186">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14:paraId="5FC23E42">
      <w:pPr>
        <w:autoSpaceDE w:val="0"/>
        <w:autoSpaceDN w:val="0"/>
        <w:adjustRightInd w:val="0"/>
        <w:snapToGrid w:val="0"/>
        <w:spacing w:line="480" w:lineRule="exact"/>
        <w:ind w:right="210" w:firstLine="482" w:firstLineChars="200"/>
        <w:rPr>
          <w:b/>
          <w:sz w:val="24"/>
        </w:rPr>
      </w:pPr>
      <w:r>
        <w:rPr>
          <w:b/>
          <w:sz w:val="24"/>
        </w:rPr>
        <w:t>三、评审程序、内容</w:t>
      </w:r>
    </w:p>
    <w:p w14:paraId="2286B9FD">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58D8B523">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FE6699">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A3CA936">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2、磋商小组所有成员应当集中与单一供应商分别进行磋商，并给予所有参加磋商的供应商平等的磋商机会。</w:t>
      </w:r>
    </w:p>
    <w:p w14:paraId="2BBC3996">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5CBEF0F0">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对磋商文件作出的实质性变动是磋商文件的有效组成部分，磋商小组应当及时以书面形式同时通知所有参加磋商的供应商。</w:t>
      </w:r>
    </w:p>
    <w:p w14:paraId="4DA64932">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供应商应当按照磋商文件的变动情况和磋商小组的要求重新提交响应文件，并由其法定代表人或</w:t>
      </w:r>
      <w:r>
        <w:rPr>
          <w:rFonts w:hint="eastAsia" w:ascii="Times New Roman" w:hAnsi="Times New Roman" w:eastAsia="宋体"/>
          <w:sz w:val="24"/>
          <w:szCs w:val="24"/>
          <w:lang w:val="zh-CN"/>
        </w:rPr>
        <w:t>其</w:t>
      </w:r>
      <w:r>
        <w:rPr>
          <w:rFonts w:ascii="Times New Roman" w:hAnsi="Times New Roman" w:eastAsia="宋体"/>
          <w:sz w:val="24"/>
          <w:szCs w:val="24"/>
          <w:lang w:val="zh-CN"/>
        </w:rPr>
        <w:t>授权代表签字或者加盖公章。由授权代表签字的，应当附法定代表人授权书。供应商为自然人的，应当由本人签字并附身份证明。</w:t>
      </w:r>
    </w:p>
    <w:p w14:paraId="3A5F8864">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4、磋商文件能够详细列明采购标的的技术、服务要求的，磋商结束后，磋商小组应当要求所有实质性响应的供应商在规定时间内提交最后报价，提交最后报价的供应商不得少于3家。</w:t>
      </w:r>
    </w:p>
    <w:p w14:paraId="4ECA5E85">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51D9D9C">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市场竞争不充分的科研项目，以及需要扶持的科技成果转化项目，提交最后报价的供应商可以是2家。</w:t>
      </w:r>
    </w:p>
    <w:p w14:paraId="2BE5C32C">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5、最后报价是供应商响应文件的有效组成部分。</w:t>
      </w:r>
    </w:p>
    <w:p w14:paraId="7127CB78">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6、已提交响应文件的供应商，在提交最后报价之前，可以根据磋商情况退出磋商。</w:t>
      </w:r>
    </w:p>
    <w:p w14:paraId="3082DA8F">
      <w:pPr>
        <w:pStyle w:val="85"/>
        <w:snapToGrid w:val="0"/>
        <w:spacing w:line="480" w:lineRule="exact"/>
        <w:ind w:firstLine="480" w:firstLineChars="200"/>
        <w:contextualSpacing/>
        <w:rPr>
          <w:rFonts w:ascii="Times New Roman" w:hAnsi="Times New Roman" w:eastAsia="宋体"/>
          <w:sz w:val="24"/>
          <w:szCs w:val="24"/>
          <w:lang w:val="zh-CN"/>
        </w:rPr>
      </w:pPr>
      <w:r>
        <w:rPr>
          <w:rFonts w:ascii="Times New Roman" w:hAnsi="Times New Roman" w:eastAsia="宋体"/>
          <w:sz w:val="24"/>
          <w:szCs w:val="24"/>
          <w:lang w:val="zh-CN"/>
        </w:rPr>
        <w:t>磋商时间由磋商小组掌握。</w:t>
      </w:r>
    </w:p>
    <w:p w14:paraId="6A80357A">
      <w:pPr>
        <w:pStyle w:val="85"/>
        <w:snapToGrid w:val="0"/>
        <w:spacing w:line="480" w:lineRule="exact"/>
        <w:ind w:firstLine="496"/>
        <w:contextualSpacing/>
        <w:rPr>
          <w:rFonts w:ascii="Times New Roman" w:hAnsi="Times New Roman" w:eastAsia="宋体"/>
          <w:b/>
          <w:sz w:val="24"/>
          <w:szCs w:val="24"/>
        </w:rPr>
      </w:pPr>
      <w:r>
        <w:rPr>
          <w:rFonts w:ascii="Times New Roman" w:hAnsi="Times New Roman" w:eastAsia="宋体"/>
          <w:b/>
          <w:sz w:val="24"/>
          <w:szCs w:val="24"/>
        </w:rPr>
        <w:t>四、评审方法-综合评分法</w:t>
      </w:r>
    </w:p>
    <w:p w14:paraId="2C7665D0">
      <w:pPr>
        <w:pStyle w:val="85"/>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经磋商确定最终采购需求和提交最后报价的供应商后，由磋商小组采用综合评分法对提交最后报价的供应商的响应文件和最后报价进行综合评分。</w:t>
      </w:r>
    </w:p>
    <w:p w14:paraId="1C10DB4A">
      <w:pPr>
        <w:pStyle w:val="85"/>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综合评分法，是指响应文件满足磋商文件全部实质性要求且按评审因素的量化指标评审得分最高的供应商为成交候选供应商的评审方法。</w:t>
      </w:r>
    </w:p>
    <w:p w14:paraId="2CE2A06A">
      <w:pPr>
        <w:pStyle w:val="85"/>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评审时，磋商小组各成员应当独立对每个有效响应的文件进行评价、打分，然后汇总每个供应商每项评分因素的得分。</w:t>
      </w:r>
    </w:p>
    <w:p w14:paraId="013455EB">
      <w:pPr>
        <w:snapToGrid w:val="0"/>
        <w:spacing w:line="480" w:lineRule="exact"/>
        <w:ind w:firstLine="482" w:firstLineChars="200"/>
        <w:rPr>
          <w:b/>
          <w:sz w:val="24"/>
        </w:rPr>
      </w:pPr>
      <w:r>
        <w:rPr>
          <w:b/>
          <w:sz w:val="24"/>
        </w:rPr>
        <w:t>（一）审查响应文件的有效性、完整性、响应程度</w:t>
      </w:r>
    </w:p>
    <w:p w14:paraId="5EFC05D3">
      <w:pPr>
        <w:snapToGrid w:val="0"/>
        <w:spacing w:line="480" w:lineRule="exact"/>
        <w:ind w:firstLine="482" w:firstLineChars="200"/>
        <w:rPr>
          <w:b/>
          <w:sz w:val="24"/>
        </w:rPr>
      </w:pPr>
      <w:r>
        <w:rPr>
          <w:b/>
          <w:sz w:val="24"/>
        </w:rPr>
        <w:t>1、供应商资格是否符合;</w:t>
      </w:r>
    </w:p>
    <w:p w14:paraId="0FF6BD5A">
      <w:pPr>
        <w:snapToGrid w:val="0"/>
        <w:spacing w:line="480" w:lineRule="exact"/>
        <w:ind w:firstLine="480" w:firstLineChars="200"/>
        <w:rPr>
          <w:sz w:val="24"/>
        </w:rPr>
      </w:pPr>
      <w:r>
        <w:rPr>
          <w:sz w:val="24"/>
        </w:rPr>
        <w:t>2、响应文件是否完整；</w:t>
      </w:r>
    </w:p>
    <w:p w14:paraId="1232329F">
      <w:pPr>
        <w:snapToGrid w:val="0"/>
        <w:spacing w:line="480" w:lineRule="exact"/>
        <w:ind w:firstLine="480" w:firstLineChars="200"/>
        <w:rPr>
          <w:sz w:val="24"/>
        </w:rPr>
      </w:pPr>
      <w:r>
        <w:rPr>
          <w:sz w:val="24"/>
        </w:rPr>
        <w:t>3、响应文件是否恰当地签署；</w:t>
      </w:r>
    </w:p>
    <w:p w14:paraId="01239D86">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14:paraId="501317F2">
      <w:pPr>
        <w:snapToGrid w:val="0"/>
        <w:spacing w:line="480" w:lineRule="exact"/>
        <w:ind w:firstLine="480" w:firstLineChars="200"/>
        <w:rPr>
          <w:sz w:val="24"/>
        </w:rPr>
      </w:pPr>
      <w:r>
        <w:rPr>
          <w:sz w:val="24"/>
        </w:rPr>
        <w:t>5、是否有计算错误。</w:t>
      </w:r>
    </w:p>
    <w:p w14:paraId="1100D9B8">
      <w:pPr>
        <w:snapToGrid w:val="0"/>
        <w:spacing w:line="480" w:lineRule="exact"/>
        <w:ind w:firstLine="482" w:firstLineChars="200"/>
        <w:rPr>
          <w:b/>
          <w:bCs/>
          <w:sz w:val="24"/>
        </w:rPr>
      </w:pPr>
      <w:r>
        <w:rPr>
          <w:b/>
          <w:bCs/>
          <w:sz w:val="24"/>
        </w:rPr>
        <w:t>（二）误差纠正</w:t>
      </w:r>
    </w:p>
    <w:p w14:paraId="443B6BF9">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14:paraId="2E1D4917">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14:paraId="13C5BE5D">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14:paraId="16117A60">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14:paraId="2675C110">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14:paraId="3464DC13">
      <w:pPr>
        <w:tabs>
          <w:tab w:val="left" w:pos="6555"/>
          <w:tab w:val="right" w:pos="8306"/>
        </w:tabs>
        <w:snapToGrid w:val="0"/>
        <w:spacing w:line="480" w:lineRule="exact"/>
        <w:ind w:firstLine="482" w:firstLineChars="200"/>
        <w:rPr>
          <w:b/>
          <w:sz w:val="24"/>
        </w:rPr>
      </w:pPr>
      <w:r>
        <w:rPr>
          <w:b/>
          <w:sz w:val="24"/>
        </w:rPr>
        <w:t>（三）出现下列情形之一的，作无效响应处理;</w:t>
      </w:r>
    </w:p>
    <w:p w14:paraId="7CF5AAC4">
      <w:pPr>
        <w:snapToGrid w:val="0"/>
        <w:spacing w:line="480" w:lineRule="exact"/>
        <w:ind w:firstLine="570"/>
        <w:rPr>
          <w:sz w:val="24"/>
        </w:rPr>
      </w:pPr>
      <w:r>
        <w:rPr>
          <w:sz w:val="24"/>
        </w:rPr>
        <w:t>1、未按照磋商文件规定要求</w:t>
      </w:r>
      <w:r>
        <w:rPr>
          <w:rFonts w:hint="eastAsia"/>
          <w:sz w:val="24"/>
        </w:rPr>
        <w:t>密封、</w:t>
      </w:r>
      <w:r>
        <w:rPr>
          <w:sz w:val="24"/>
        </w:rPr>
        <w:t>签署、盖章的；</w:t>
      </w:r>
    </w:p>
    <w:p w14:paraId="3AF897ED">
      <w:pPr>
        <w:snapToGrid w:val="0"/>
        <w:spacing w:line="480" w:lineRule="exact"/>
        <w:ind w:firstLine="570"/>
        <w:rPr>
          <w:sz w:val="24"/>
        </w:rPr>
      </w:pPr>
      <w:r>
        <w:rPr>
          <w:sz w:val="24"/>
        </w:rPr>
        <w:t>2、不具备磋商文件中规定的资格要求的；</w:t>
      </w:r>
    </w:p>
    <w:p w14:paraId="213DB224">
      <w:pPr>
        <w:snapToGrid w:val="0"/>
        <w:spacing w:line="480" w:lineRule="exact"/>
        <w:ind w:firstLine="570"/>
        <w:rPr>
          <w:sz w:val="24"/>
        </w:rPr>
      </w:pPr>
      <w:r>
        <w:rPr>
          <w:sz w:val="24"/>
        </w:rPr>
        <w:t>3、响应报价超出预算的；</w:t>
      </w:r>
    </w:p>
    <w:p w14:paraId="3A1FE800">
      <w:pPr>
        <w:snapToGrid w:val="0"/>
        <w:spacing w:line="480" w:lineRule="exact"/>
        <w:ind w:firstLine="570"/>
      </w:pPr>
      <w:r>
        <w:rPr>
          <w:rFonts w:hint="eastAsia" w:ascii="宋体" w:hAnsi="宋体" w:cs="宋体"/>
          <w:sz w:val="24"/>
        </w:rPr>
        <w:t>4、报价文件出现在其他响应文件中的；</w:t>
      </w:r>
    </w:p>
    <w:p w14:paraId="2FD5BCE4">
      <w:pPr>
        <w:snapToGrid w:val="0"/>
        <w:spacing w:line="480" w:lineRule="exact"/>
        <w:ind w:firstLine="570"/>
        <w:rPr>
          <w:rFonts w:ascii="宋体" w:hAnsi="宋体" w:cs="宋体"/>
          <w:sz w:val="24"/>
        </w:rPr>
      </w:pPr>
      <w:r>
        <w:rPr>
          <w:rFonts w:hint="eastAsia" w:ascii="宋体" w:hAnsi="宋体" w:cs="宋体"/>
          <w:sz w:val="24"/>
        </w:rPr>
        <w:t>5、响应文件含有采购人不能接受的附加条件的；</w:t>
      </w:r>
    </w:p>
    <w:p w14:paraId="7D2062F3">
      <w:pPr>
        <w:snapToGrid w:val="0"/>
        <w:spacing w:line="480" w:lineRule="exact"/>
        <w:ind w:firstLine="570"/>
        <w:rPr>
          <w:sz w:val="24"/>
        </w:rPr>
      </w:pPr>
      <w:r>
        <w:rPr>
          <w:rFonts w:hint="eastAsia" w:ascii="宋体" w:hAnsi="宋体" w:cs="宋体"/>
          <w:sz w:val="24"/>
        </w:rPr>
        <w:t>6、</w:t>
      </w:r>
      <w:r>
        <w:rPr>
          <w:sz w:val="24"/>
        </w:rPr>
        <w:t>不符合法律、法规和磋商文件中规定的其他实质性要求的。</w:t>
      </w:r>
    </w:p>
    <w:p w14:paraId="354D79BA">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14:paraId="30D5FF5A">
      <w:pPr>
        <w:snapToGrid w:val="0"/>
        <w:spacing w:line="480" w:lineRule="exact"/>
        <w:ind w:firstLine="570"/>
        <w:rPr>
          <w:sz w:val="24"/>
        </w:rPr>
      </w:pPr>
      <w:r>
        <w:rPr>
          <w:sz w:val="24"/>
        </w:rPr>
        <w:t>1、符合条件的供应商或者对磋商文件作实质响应的供应商不足3家的（市场竞争不充分的科研项目，以及需要扶持的科技成果转化项目可以是2家）；</w:t>
      </w:r>
    </w:p>
    <w:p w14:paraId="08BCAF22">
      <w:pPr>
        <w:snapToGrid w:val="0"/>
        <w:spacing w:line="480" w:lineRule="exact"/>
        <w:ind w:firstLine="555"/>
        <w:rPr>
          <w:sz w:val="24"/>
        </w:rPr>
      </w:pPr>
      <w:r>
        <w:rPr>
          <w:sz w:val="24"/>
        </w:rPr>
        <w:t>2、出现影响采购公正的违法违规行为的；</w:t>
      </w:r>
    </w:p>
    <w:p w14:paraId="5DA31931">
      <w:pPr>
        <w:snapToGrid w:val="0"/>
        <w:spacing w:line="480" w:lineRule="exact"/>
        <w:ind w:firstLine="555"/>
        <w:rPr>
          <w:sz w:val="24"/>
        </w:rPr>
      </w:pPr>
      <w:r>
        <w:rPr>
          <w:sz w:val="24"/>
        </w:rPr>
        <w:t>3、供应商的最后报价均超过了采购预算，采购人不能支付的；</w:t>
      </w:r>
    </w:p>
    <w:p w14:paraId="4A3E6C9D">
      <w:pPr>
        <w:snapToGrid w:val="0"/>
        <w:spacing w:line="480" w:lineRule="exact"/>
        <w:ind w:firstLine="555"/>
        <w:rPr>
          <w:sz w:val="24"/>
        </w:rPr>
      </w:pPr>
      <w:r>
        <w:rPr>
          <w:sz w:val="24"/>
        </w:rPr>
        <w:t>4、因重大变故，采购任务取消的。</w:t>
      </w:r>
    </w:p>
    <w:p w14:paraId="4088318B">
      <w:pPr>
        <w:snapToGrid w:val="0"/>
        <w:spacing w:line="480" w:lineRule="exact"/>
        <w:ind w:firstLine="555"/>
        <w:rPr>
          <w:sz w:val="24"/>
        </w:rPr>
      </w:pPr>
      <w:r>
        <w:rPr>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736ACDE5">
      <w:pPr>
        <w:snapToGrid w:val="0"/>
        <w:spacing w:line="360" w:lineRule="auto"/>
        <w:ind w:firstLine="482" w:firstLineChars="200"/>
        <w:jc w:val="left"/>
        <w:rPr>
          <w:b/>
          <w:bCs/>
          <w:sz w:val="24"/>
        </w:rPr>
      </w:pPr>
      <w:r>
        <w:rPr>
          <w:b/>
          <w:bCs/>
          <w:sz w:val="24"/>
        </w:rPr>
        <w:t>五、评审标准</w:t>
      </w:r>
    </w:p>
    <w:p w14:paraId="4F4553CA">
      <w:pPr>
        <w:snapToGrid w:val="0"/>
        <w:spacing w:line="360" w:lineRule="auto"/>
        <w:ind w:firstLine="480" w:firstLineChars="200"/>
        <w:jc w:val="left"/>
        <w:rPr>
          <w:sz w:val="24"/>
        </w:rPr>
      </w:pPr>
      <w:r>
        <w:rPr>
          <w:sz w:val="24"/>
        </w:rPr>
        <w:t>技术商务部分评审结束后，再开启最后报价计算分值。总分值为100分，加分和减分因素除外。</w:t>
      </w:r>
    </w:p>
    <w:p w14:paraId="1C517C6F">
      <w:pPr>
        <w:numPr>
          <w:ilvl w:val="0"/>
          <w:numId w:val="5"/>
        </w:numPr>
        <w:snapToGrid w:val="0"/>
        <w:spacing w:line="360" w:lineRule="auto"/>
        <w:ind w:left="482"/>
        <w:jc w:val="left"/>
        <w:rPr>
          <w:b/>
          <w:bCs/>
          <w:sz w:val="24"/>
        </w:rPr>
      </w:pPr>
      <w:r>
        <w:rPr>
          <w:b/>
          <w:bCs/>
          <w:sz w:val="24"/>
        </w:rPr>
        <w:t>技术商务响应文件（满分</w:t>
      </w:r>
      <w:r>
        <w:rPr>
          <w:rFonts w:hint="eastAsia"/>
          <w:b/>
          <w:bCs/>
          <w:sz w:val="24"/>
        </w:rPr>
        <w:t>70</w:t>
      </w:r>
      <w:r>
        <w:rPr>
          <w:b/>
          <w:bCs/>
          <w:sz w:val="24"/>
        </w:rPr>
        <w:t>分）</w:t>
      </w:r>
    </w:p>
    <w:tbl>
      <w:tblPr>
        <w:tblStyle w:val="36"/>
        <w:tblpPr w:leftFromText="180" w:rightFromText="180" w:vertAnchor="text" w:horzAnchor="page" w:tblpX="1454" w:tblpY="290"/>
        <w:tblOverlap w:val="never"/>
        <w:tblW w:w="9824" w:type="dxa"/>
        <w:tblInd w:w="0" w:type="dxa"/>
        <w:tblLayout w:type="fixed"/>
        <w:tblCellMar>
          <w:top w:w="0" w:type="dxa"/>
          <w:left w:w="108" w:type="dxa"/>
          <w:bottom w:w="0" w:type="dxa"/>
          <w:right w:w="108" w:type="dxa"/>
        </w:tblCellMar>
      </w:tblPr>
      <w:tblGrid>
        <w:gridCol w:w="849"/>
        <w:gridCol w:w="1273"/>
        <w:gridCol w:w="706"/>
        <w:gridCol w:w="6996"/>
      </w:tblGrid>
      <w:tr w14:paraId="3DC6A102">
        <w:tblPrEx>
          <w:tblCellMar>
            <w:top w:w="0" w:type="dxa"/>
            <w:left w:w="108" w:type="dxa"/>
            <w:bottom w:w="0" w:type="dxa"/>
            <w:right w:w="108" w:type="dxa"/>
          </w:tblCellMar>
        </w:tblPrEx>
        <w:trPr>
          <w:trHeight w:val="306" w:hRule="atLeast"/>
          <w:tblHeader/>
        </w:trPr>
        <w:tc>
          <w:tcPr>
            <w:tcW w:w="849" w:type="dxa"/>
            <w:tcBorders>
              <w:top w:val="single" w:color="auto" w:sz="4" w:space="0"/>
              <w:left w:val="single" w:color="auto" w:sz="4" w:space="0"/>
              <w:bottom w:val="single" w:color="auto" w:sz="4" w:space="0"/>
              <w:right w:val="single" w:color="auto" w:sz="4" w:space="0"/>
            </w:tcBorders>
            <w:vAlign w:val="center"/>
          </w:tcPr>
          <w:p w14:paraId="577A5BDC">
            <w:pPr>
              <w:spacing w:line="420" w:lineRule="exact"/>
              <w:ind w:left="-40"/>
              <w:jc w:val="center"/>
              <w:rPr>
                <w:rFonts w:hint="eastAsia" w:ascii="宋体" w:hAnsi="宋体" w:cs="宋体"/>
                <w:b/>
                <w:bCs/>
                <w:sz w:val="24"/>
              </w:rPr>
            </w:pPr>
            <w:r>
              <w:rPr>
                <w:rFonts w:hint="eastAsia" w:ascii="宋体" w:hAnsi="宋体" w:cs="宋体"/>
                <w:b/>
                <w:bCs/>
                <w:sz w:val="24"/>
              </w:rPr>
              <w:t>序号</w:t>
            </w:r>
          </w:p>
        </w:tc>
        <w:tc>
          <w:tcPr>
            <w:tcW w:w="1273" w:type="dxa"/>
            <w:tcBorders>
              <w:top w:val="single" w:color="auto" w:sz="4" w:space="0"/>
              <w:left w:val="nil"/>
              <w:bottom w:val="single" w:color="auto" w:sz="4" w:space="0"/>
              <w:right w:val="single" w:color="auto" w:sz="4" w:space="0"/>
            </w:tcBorders>
            <w:vAlign w:val="center"/>
          </w:tcPr>
          <w:p w14:paraId="16A098E1">
            <w:pPr>
              <w:spacing w:line="420" w:lineRule="exact"/>
              <w:ind w:left="-40"/>
              <w:jc w:val="center"/>
              <w:rPr>
                <w:rFonts w:hint="eastAsia" w:ascii="宋体" w:hAnsi="宋体" w:cs="宋体"/>
                <w:b/>
                <w:bCs/>
                <w:sz w:val="24"/>
              </w:rPr>
            </w:pPr>
            <w:r>
              <w:rPr>
                <w:rFonts w:hint="eastAsia" w:ascii="宋体" w:hAnsi="宋体" w:cs="宋体"/>
                <w:b/>
                <w:bCs/>
                <w:sz w:val="24"/>
              </w:rPr>
              <w:t>评审项目</w:t>
            </w:r>
          </w:p>
        </w:tc>
        <w:tc>
          <w:tcPr>
            <w:tcW w:w="706" w:type="dxa"/>
            <w:tcBorders>
              <w:top w:val="single" w:color="auto" w:sz="4" w:space="0"/>
              <w:left w:val="nil"/>
              <w:bottom w:val="single" w:color="auto" w:sz="4" w:space="0"/>
              <w:right w:val="single" w:color="auto" w:sz="4" w:space="0"/>
            </w:tcBorders>
            <w:vAlign w:val="center"/>
          </w:tcPr>
          <w:p w14:paraId="2108A674">
            <w:pPr>
              <w:spacing w:line="420" w:lineRule="exact"/>
              <w:ind w:left="-40"/>
              <w:jc w:val="center"/>
              <w:rPr>
                <w:rFonts w:hint="eastAsia" w:ascii="宋体" w:hAnsi="宋体" w:cs="宋体"/>
                <w:b/>
                <w:bCs/>
                <w:sz w:val="24"/>
              </w:rPr>
            </w:pPr>
            <w:r>
              <w:rPr>
                <w:rFonts w:hint="eastAsia" w:ascii="宋体" w:hAnsi="宋体" w:cs="宋体"/>
                <w:b/>
                <w:bCs/>
                <w:sz w:val="24"/>
              </w:rPr>
              <w:t>分值</w:t>
            </w:r>
          </w:p>
        </w:tc>
        <w:tc>
          <w:tcPr>
            <w:tcW w:w="6996" w:type="dxa"/>
            <w:tcBorders>
              <w:top w:val="single" w:color="auto" w:sz="4" w:space="0"/>
              <w:left w:val="nil"/>
              <w:bottom w:val="single" w:color="auto" w:sz="4" w:space="0"/>
              <w:right w:val="single" w:color="auto" w:sz="4" w:space="0"/>
            </w:tcBorders>
            <w:vAlign w:val="center"/>
          </w:tcPr>
          <w:p w14:paraId="40686FAA">
            <w:pPr>
              <w:spacing w:line="420" w:lineRule="exact"/>
              <w:ind w:left="-40"/>
              <w:jc w:val="center"/>
              <w:rPr>
                <w:rFonts w:hint="eastAsia" w:ascii="宋体" w:hAnsi="宋体" w:cs="宋体"/>
                <w:b/>
                <w:bCs/>
                <w:sz w:val="24"/>
              </w:rPr>
            </w:pPr>
            <w:r>
              <w:rPr>
                <w:rFonts w:hint="eastAsia" w:ascii="宋体" w:hAnsi="宋体" w:cs="宋体"/>
                <w:b/>
                <w:bCs/>
                <w:sz w:val="24"/>
              </w:rPr>
              <w:t>评审因素</w:t>
            </w:r>
          </w:p>
        </w:tc>
      </w:tr>
      <w:tr w14:paraId="1426B156">
        <w:tblPrEx>
          <w:tblCellMar>
            <w:top w:w="0" w:type="dxa"/>
            <w:left w:w="108" w:type="dxa"/>
            <w:bottom w:w="0" w:type="dxa"/>
            <w:right w:w="108" w:type="dxa"/>
          </w:tblCellMar>
        </w:tblPrEx>
        <w:trPr>
          <w:trHeight w:val="901" w:hRule="atLeast"/>
        </w:trPr>
        <w:tc>
          <w:tcPr>
            <w:tcW w:w="849" w:type="dxa"/>
            <w:tcBorders>
              <w:top w:val="single" w:color="auto" w:sz="4" w:space="0"/>
              <w:left w:val="single" w:color="auto" w:sz="4" w:space="0"/>
              <w:bottom w:val="single" w:color="auto" w:sz="4" w:space="0"/>
              <w:right w:val="single" w:color="auto" w:sz="4" w:space="0"/>
            </w:tcBorders>
            <w:vAlign w:val="center"/>
          </w:tcPr>
          <w:p w14:paraId="0309C774">
            <w:pPr>
              <w:spacing w:line="420" w:lineRule="exact"/>
              <w:ind w:left="-40"/>
              <w:jc w:val="center"/>
              <w:rPr>
                <w:rFonts w:hint="eastAsia" w:ascii="宋体" w:hAnsi="宋体" w:cs="宋体"/>
                <w:sz w:val="24"/>
              </w:rPr>
            </w:pPr>
            <w:r>
              <w:rPr>
                <w:rFonts w:hint="eastAsia" w:ascii="宋体" w:hAnsi="宋体" w:cs="宋体"/>
                <w:sz w:val="24"/>
              </w:rPr>
              <w:t>1</w:t>
            </w:r>
          </w:p>
        </w:tc>
        <w:tc>
          <w:tcPr>
            <w:tcW w:w="1273" w:type="dxa"/>
            <w:tcBorders>
              <w:top w:val="single" w:color="auto" w:sz="4" w:space="0"/>
              <w:left w:val="nil"/>
              <w:bottom w:val="single" w:color="auto" w:sz="4" w:space="0"/>
              <w:right w:val="single" w:color="auto" w:sz="4" w:space="0"/>
            </w:tcBorders>
            <w:vAlign w:val="center"/>
          </w:tcPr>
          <w:p w14:paraId="433C0653">
            <w:pPr>
              <w:spacing w:line="420" w:lineRule="exact"/>
              <w:ind w:left="-40"/>
              <w:jc w:val="center"/>
              <w:rPr>
                <w:rFonts w:hint="eastAsia" w:ascii="宋体" w:hAnsi="宋体" w:cs="宋体"/>
                <w:sz w:val="24"/>
              </w:rPr>
            </w:pPr>
            <w:r>
              <w:rPr>
                <w:rFonts w:hint="eastAsia" w:ascii="宋体" w:hAnsi="宋体" w:cs="宋体"/>
                <w:sz w:val="24"/>
              </w:rPr>
              <w:t>企业资信</w:t>
            </w:r>
          </w:p>
        </w:tc>
        <w:tc>
          <w:tcPr>
            <w:tcW w:w="706" w:type="dxa"/>
            <w:tcBorders>
              <w:top w:val="single" w:color="auto" w:sz="4" w:space="0"/>
              <w:left w:val="nil"/>
              <w:bottom w:val="single" w:color="auto" w:sz="4" w:space="0"/>
              <w:right w:val="single" w:color="auto" w:sz="4" w:space="0"/>
            </w:tcBorders>
            <w:vAlign w:val="center"/>
          </w:tcPr>
          <w:p w14:paraId="1138926A">
            <w:pPr>
              <w:spacing w:line="420" w:lineRule="exact"/>
              <w:ind w:left="-40"/>
              <w:jc w:val="center"/>
              <w:rPr>
                <w:rFonts w:hint="eastAsia" w:ascii="宋体" w:hAnsi="宋体" w:cs="宋体"/>
                <w:sz w:val="24"/>
              </w:rPr>
            </w:pPr>
            <w:r>
              <w:rPr>
                <w:rFonts w:hint="eastAsia" w:ascii="宋体" w:hAnsi="宋体" w:cs="宋体"/>
                <w:sz w:val="24"/>
              </w:rPr>
              <w:t>15</w:t>
            </w:r>
          </w:p>
        </w:tc>
        <w:tc>
          <w:tcPr>
            <w:tcW w:w="6996" w:type="dxa"/>
            <w:tcBorders>
              <w:top w:val="single" w:color="auto" w:sz="4" w:space="0"/>
              <w:left w:val="nil"/>
              <w:bottom w:val="single" w:color="auto" w:sz="4" w:space="0"/>
              <w:right w:val="single" w:color="auto" w:sz="4" w:space="0"/>
            </w:tcBorders>
            <w:vAlign w:val="center"/>
          </w:tcPr>
          <w:p w14:paraId="020AA12C">
            <w:pPr>
              <w:numPr>
                <w:ilvl w:val="0"/>
                <w:numId w:val="6"/>
              </w:numPr>
              <w:spacing w:after="160" w:line="420" w:lineRule="exact"/>
              <w:rPr>
                <w:rFonts w:hint="eastAsia" w:ascii="宋体" w:hAnsi="宋体" w:cs="宋体"/>
                <w:sz w:val="24"/>
              </w:rPr>
            </w:pPr>
            <w:r>
              <w:rPr>
                <w:rFonts w:hint="eastAsia" w:ascii="宋体" w:hAnsi="宋体" w:cs="宋体"/>
                <w:sz w:val="24"/>
              </w:rPr>
              <w:t>根据供应商及生产厂家的企业综合实力进行评价，包含信誉、获奖情况、经验等；供应商（生产厂家）信誉高，在行业获得的奖项多、经验充足的得5分，信誉良好，在行业获得的奖项一般、经验一般的得3分：信誉一般，在行业获得的奖项少、经验少的得1分；差的不得分；</w:t>
            </w:r>
          </w:p>
          <w:p w14:paraId="1E8D5836">
            <w:pPr>
              <w:spacing w:line="420" w:lineRule="exact"/>
              <w:rPr>
                <w:rFonts w:hint="eastAsia" w:ascii="宋体" w:hAnsi="宋体" w:cs="宋体"/>
                <w:b/>
                <w:bCs/>
                <w:sz w:val="24"/>
              </w:rPr>
            </w:pPr>
            <w:r>
              <w:rPr>
                <w:rFonts w:hint="eastAsia" w:ascii="宋体" w:hAnsi="宋体" w:cs="宋体"/>
                <w:b/>
                <w:bCs/>
                <w:sz w:val="24"/>
              </w:rPr>
              <w:t>注：提供证明材料复印件加盖公章，否则不得分。</w:t>
            </w:r>
          </w:p>
          <w:p w14:paraId="206E6329">
            <w:pPr>
              <w:spacing w:line="420" w:lineRule="exact"/>
              <w:rPr>
                <w:rFonts w:hint="eastAsia" w:ascii="宋体" w:hAnsi="宋体" w:cs="宋体"/>
                <w:sz w:val="24"/>
              </w:rPr>
            </w:pPr>
            <w:r>
              <w:rPr>
                <w:rFonts w:hint="eastAsia" w:ascii="宋体" w:hAnsi="宋体" w:cs="宋体"/>
                <w:sz w:val="24"/>
              </w:rPr>
              <w:t>（2）供应商所投</w:t>
            </w:r>
            <w:r>
              <w:rPr>
                <w:rFonts w:hint="eastAsia" w:ascii="宋体" w:hAnsi="宋体" w:cs="宋体"/>
                <w:color w:val="000000"/>
                <w:sz w:val="24"/>
              </w:rPr>
              <w:t>产品</w:t>
            </w:r>
            <w:r>
              <w:rPr>
                <w:rFonts w:hint="eastAsia" w:ascii="宋体" w:hAnsi="宋体" w:cs="宋体"/>
                <w:sz w:val="24"/>
              </w:rPr>
              <w:t>2019年1月1日以来至今销售类似业绩，提供清晰完整的采购项目合同及其案例业绩清单，每提供一个业绩得2分，该项最高得10分。</w:t>
            </w:r>
          </w:p>
        </w:tc>
      </w:tr>
      <w:tr w14:paraId="172F0C0F">
        <w:tblPrEx>
          <w:tblCellMar>
            <w:top w:w="0" w:type="dxa"/>
            <w:left w:w="108" w:type="dxa"/>
            <w:bottom w:w="0" w:type="dxa"/>
            <w:right w:w="108" w:type="dxa"/>
          </w:tblCellMar>
        </w:tblPrEx>
        <w:trPr>
          <w:trHeight w:val="2152" w:hRule="atLeast"/>
        </w:trPr>
        <w:tc>
          <w:tcPr>
            <w:tcW w:w="849" w:type="dxa"/>
            <w:tcBorders>
              <w:top w:val="single" w:color="auto" w:sz="4" w:space="0"/>
              <w:left w:val="single" w:color="auto" w:sz="4" w:space="0"/>
              <w:bottom w:val="single" w:color="auto" w:sz="4" w:space="0"/>
              <w:right w:val="single" w:color="auto" w:sz="4" w:space="0"/>
            </w:tcBorders>
            <w:vAlign w:val="center"/>
          </w:tcPr>
          <w:p w14:paraId="4DAF7ADD">
            <w:pPr>
              <w:spacing w:line="420" w:lineRule="exact"/>
              <w:ind w:left="-40"/>
              <w:jc w:val="center"/>
              <w:rPr>
                <w:rFonts w:hint="eastAsia" w:ascii="宋体" w:hAnsi="宋体" w:cs="宋体"/>
                <w:sz w:val="24"/>
              </w:rPr>
            </w:pPr>
            <w:r>
              <w:rPr>
                <w:rFonts w:hint="eastAsia" w:ascii="宋体" w:hAnsi="宋体" w:cs="宋体"/>
                <w:sz w:val="24"/>
              </w:rPr>
              <w:t>2</w:t>
            </w:r>
          </w:p>
        </w:tc>
        <w:tc>
          <w:tcPr>
            <w:tcW w:w="1273" w:type="dxa"/>
            <w:tcBorders>
              <w:top w:val="single" w:color="auto" w:sz="4" w:space="0"/>
              <w:left w:val="nil"/>
              <w:bottom w:val="single" w:color="auto" w:sz="4" w:space="0"/>
              <w:right w:val="single" w:color="auto" w:sz="4" w:space="0"/>
            </w:tcBorders>
            <w:vAlign w:val="center"/>
          </w:tcPr>
          <w:p w14:paraId="03EDECB9">
            <w:pPr>
              <w:spacing w:line="420" w:lineRule="exact"/>
              <w:ind w:left="-40"/>
              <w:jc w:val="center"/>
              <w:rPr>
                <w:rFonts w:hint="eastAsia" w:ascii="宋体" w:hAnsi="宋体" w:cs="宋体"/>
                <w:sz w:val="24"/>
              </w:rPr>
            </w:pPr>
            <w:r>
              <w:rPr>
                <w:rFonts w:hint="eastAsia" w:ascii="宋体" w:hAnsi="宋体" w:cs="宋体"/>
                <w:sz w:val="24"/>
              </w:rPr>
              <w:t>产品技术、性能、配置</w:t>
            </w:r>
          </w:p>
        </w:tc>
        <w:tc>
          <w:tcPr>
            <w:tcW w:w="706" w:type="dxa"/>
            <w:tcBorders>
              <w:top w:val="single" w:color="auto" w:sz="4" w:space="0"/>
              <w:left w:val="nil"/>
              <w:bottom w:val="single" w:color="auto" w:sz="4" w:space="0"/>
              <w:right w:val="single" w:color="auto" w:sz="4" w:space="0"/>
            </w:tcBorders>
            <w:vAlign w:val="center"/>
          </w:tcPr>
          <w:p w14:paraId="44E08A2C">
            <w:pPr>
              <w:spacing w:line="420" w:lineRule="exact"/>
              <w:ind w:left="-40"/>
              <w:jc w:val="center"/>
              <w:rPr>
                <w:rFonts w:hint="eastAsia" w:ascii="宋体" w:hAnsi="宋体" w:cs="宋体"/>
                <w:sz w:val="24"/>
              </w:rPr>
            </w:pPr>
            <w:r>
              <w:rPr>
                <w:rFonts w:hint="eastAsia" w:ascii="宋体" w:hAnsi="宋体" w:cs="宋体"/>
                <w:sz w:val="24"/>
              </w:rPr>
              <w:t>40</w:t>
            </w:r>
          </w:p>
        </w:tc>
        <w:tc>
          <w:tcPr>
            <w:tcW w:w="6996" w:type="dxa"/>
            <w:tcBorders>
              <w:top w:val="single" w:color="auto" w:sz="4" w:space="0"/>
              <w:left w:val="nil"/>
              <w:bottom w:val="single" w:color="auto" w:sz="4" w:space="0"/>
              <w:right w:val="single" w:color="auto" w:sz="4" w:space="0"/>
            </w:tcBorders>
            <w:vAlign w:val="center"/>
          </w:tcPr>
          <w:p w14:paraId="5273A75F">
            <w:pPr>
              <w:widowControl/>
              <w:spacing w:line="420" w:lineRule="exact"/>
              <w:jc w:val="left"/>
              <w:outlineLvl w:val="3"/>
              <w:rPr>
                <w:rFonts w:hint="eastAsia" w:ascii="宋体" w:hAnsi="宋体" w:cs="宋体"/>
                <w:sz w:val="24"/>
              </w:rPr>
            </w:pPr>
            <w:r>
              <w:rPr>
                <w:rFonts w:hint="eastAsia" w:ascii="宋体" w:hAnsi="宋体" w:cs="宋体"/>
                <w:sz w:val="24"/>
              </w:rPr>
              <w:t>所投产品满足技术参数要求的得基本分24分，技术参数每负偏离一项扣2分（</w:t>
            </w:r>
            <w:r>
              <w:rPr>
                <w:rFonts w:hint="eastAsia" w:ascii="宋体" w:hAnsi="宋体" w:cs="宋体"/>
                <w:b/>
                <w:bCs/>
                <w:sz w:val="24"/>
              </w:rPr>
              <w:t>负偏离幅度大于30%做废标处理</w:t>
            </w:r>
            <w:r>
              <w:rPr>
                <w:rFonts w:hint="eastAsia" w:ascii="宋体" w:hAnsi="宋体" w:cs="宋体"/>
                <w:sz w:val="24"/>
              </w:rPr>
              <w:t>），每正偏离一项加2分，该项最高得40分。正偏离加分必须是评委认可的有效正偏离。</w:t>
            </w:r>
          </w:p>
        </w:tc>
      </w:tr>
      <w:tr w14:paraId="45FDB84F">
        <w:tblPrEx>
          <w:tblCellMar>
            <w:top w:w="0" w:type="dxa"/>
            <w:left w:w="108" w:type="dxa"/>
            <w:bottom w:w="0" w:type="dxa"/>
            <w:right w:w="108" w:type="dxa"/>
          </w:tblCellMar>
        </w:tblPrEx>
        <w:trPr>
          <w:trHeight w:val="469" w:hRule="atLeast"/>
        </w:trPr>
        <w:tc>
          <w:tcPr>
            <w:tcW w:w="849" w:type="dxa"/>
            <w:tcBorders>
              <w:top w:val="single" w:color="auto" w:sz="4" w:space="0"/>
              <w:left w:val="single" w:color="auto" w:sz="4" w:space="0"/>
              <w:bottom w:val="single" w:color="auto" w:sz="4" w:space="0"/>
              <w:right w:val="single" w:color="auto" w:sz="4" w:space="0"/>
            </w:tcBorders>
            <w:vAlign w:val="center"/>
          </w:tcPr>
          <w:p w14:paraId="6361644F">
            <w:pPr>
              <w:spacing w:line="420" w:lineRule="exact"/>
              <w:ind w:left="-40"/>
              <w:jc w:val="center"/>
              <w:rPr>
                <w:rFonts w:hint="eastAsia" w:ascii="宋体" w:hAnsi="宋体" w:cs="宋体"/>
                <w:sz w:val="24"/>
              </w:rPr>
            </w:pPr>
            <w:r>
              <w:rPr>
                <w:rFonts w:hint="eastAsia" w:ascii="宋体" w:hAnsi="宋体" w:cs="宋体"/>
                <w:sz w:val="24"/>
              </w:rPr>
              <w:t>3</w:t>
            </w:r>
          </w:p>
        </w:tc>
        <w:tc>
          <w:tcPr>
            <w:tcW w:w="1273" w:type="dxa"/>
            <w:tcBorders>
              <w:top w:val="single" w:color="auto" w:sz="4" w:space="0"/>
              <w:left w:val="nil"/>
              <w:bottom w:val="single" w:color="auto" w:sz="4" w:space="0"/>
              <w:right w:val="single" w:color="auto" w:sz="4" w:space="0"/>
            </w:tcBorders>
            <w:vAlign w:val="center"/>
          </w:tcPr>
          <w:p w14:paraId="488A496E">
            <w:pPr>
              <w:spacing w:line="420" w:lineRule="exact"/>
              <w:ind w:left="-40"/>
              <w:rPr>
                <w:rFonts w:hint="eastAsia" w:ascii="宋体" w:hAnsi="宋体" w:cs="宋体"/>
                <w:sz w:val="24"/>
              </w:rPr>
            </w:pPr>
            <w:r>
              <w:rPr>
                <w:rFonts w:hint="eastAsia" w:ascii="宋体" w:hAnsi="宋体" w:cs="宋体"/>
                <w:sz w:val="24"/>
              </w:rPr>
              <w:t>交货期</w:t>
            </w:r>
          </w:p>
        </w:tc>
        <w:tc>
          <w:tcPr>
            <w:tcW w:w="706" w:type="dxa"/>
            <w:tcBorders>
              <w:top w:val="single" w:color="auto" w:sz="4" w:space="0"/>
              <w:left w:val="nil"/>
              <w:bottom w:val="single" w:color="auto" w:sz="4" w:space="0"/>
              <w:right w:val="single" w:color="auto" w:sz="4" w:space="0"/>
            </w:tcBorders>
            <w:vAlign w:val="center"/>
          </w:tcPr>
          <w:p w14:paraId="52FBEB21">
            <w:pPr>
              <w:spacing w:line="420" w:lineRule="exact"/>
              <w:ind w:left="-40"/>
              <w:jc w:val="center"/>
              <w:rPr>
                <w:rFonts w:hint="eastAsia" w:ascii="宋体" w:hAnsi="宋体" w:cs="宋体"/>
                <w:sz w:val="24"/>
              </w:rPr>
            </w:pPr>
            <w:r>
              <w:rPr>
                <w:rFonts w:hint="eastAsia" w:ascii="宋体" w:hAnsi="宋体" w:cs="宋体"/>
                <w:sz w:val="24"/>
              </w:rPr>
              <w:t>5</w:t>
            </w:r>
          </w:p>
        </w:tc>
        <w:tc>
          <w:tcPr>
            <w:tcW w:w="6996" w:type="dxa"/>
            <w:tcBorders>
              <w:top w:val="single" w:color="auto" w:sz="4" w:space="0"/>
              <w:left w:val="nil"/>
              <w:bottom w:val="single" w:color="auto" w:sz="4" w:space="0"/>
              <w:right w:val="single" w:color="auto" w:sz="4" w:space="0"/>
            </w:tcBorders>
            <w:vAlign w:val="center"/>
          </w:tcPr>
          <w:p w14:paraId="61746898">
            <w:pPr>
              <w:spacing w:line="420" w:lineRule="exact"/>
              <w:rPr>
                <w:rFonts w:hint="eastAsia" w:ascii="宋体" w:hAnsi="宋体" w:cs="宋体"/>
                <w:sz w:val="24"/>
              </w:rPr>
            </w:pPr>
            <w:r>
              <w:rPr>
                <w:rFonts w:hint="eastAsia" w:ascii="宋体" w:hAnsi="宋体" w:cs="宋体"/>
                <w:sz w:val="24"/>
              </w:rPr>
              <w:t>交货期必须完全响应磋商文件，否则做无效磋商处理；评标委员会根据采购人提供的供货方案横向对比打分，优于磋商文件要求并切实可行的0-5分。</w:t>
            </w:r>
          </w:p>
        </w:tc>
      </w:tr>
      <w:tr w14:paraId="4C51DE77">
        <w:tblPrEx>
          <w:tblCellMar>
            <w:top w:w="0" w:type="dxa"/>
            <w:left w:w="108" w:type="dxa"/>
            <w:bottom w:w="0" w:type="dxa"/>
            <w:right w:w="108" w:type="dxa"/>
          </w:tblCellMar>
        </w:tblPrEx>
        <w:trPr>
          <w:trHeight w:val="1053" w:hRule="atLeast"/>
        </w:trPr>
        <w:tc>
          <w:tcPr>
            <w:tcW w:w="849" w:type="dxa"/>
            <w:tcBorders>
              <w:top w:val="single" w:color="auto" w:sz="4" w:space="0"/>
              <w:left w:val="single" w:color="auto" w:sz="4" w:space="0"/>
              <w:bottom w:val="single" w:color="auto" w:sz="4" w:space="0"/>
              <w:right w:val="single" w:color="auto" w:sz="4" w:space="0"/>
            </w:tcBorders>
            <w:vAlign w:val="center"/>
          </w:tcPr>
          <w:p w14:paraId="31CEA212">
            <w:pPr>
              <w:spacing w:line="420" w:lineRule="exact"/>
              <w:ind w:left="-40"/>
              <w:jc w:val="center"/>
              <w:rPr>
                <w:rFonts w:hint="eastAsia" w:ascii="宋体" w:hAnsi="宋体" w:cs="宋体"/>
                <w:sz w:val="24"/>
              </w:rPr>
            </w:pPr>
            <w:r>
              <w:rPr>
                <w:rFonts w:hint="eastAsia" w:ascii="宋体" w:hAnsi="宋体" w:cs="宋体"/>
                <w:sz w:val="24"/>
              </w:rPr>
              <w:t>4</w:t>
            </w:r>
          </w:p>
        </w:tc>
        <w:tc>
          <w:tcPr>
            <w:tcW w:w="1273" w:type="dxa"/>
            <w:tcBorders>
              <w:top w:val="single" w:color="auto" w:sz="4" w:space="0"/>
              <w:left w:val="nil"/>
              <w:bottom w:val="single" w:color="auto" w:sz="4" w:space="0"/>
              <w:right w:val="single" w:color="auto" w:sz="4" w:space="0"/>
            </w:tcBorders>
            <w:vAlign w:val="center"/>
          </w:tcPr>
          <w:p w14:paraId="009A23CC">
            <w:pPr>
              <w:spacing w:line="420" w:lineRule="exact"/>
              <w:ind w:left="-40"/>
              <w:jc w:val="center"/>
              <w:rPr>
                <w:rFonts w:hint="eastAsia" w:ascii="宋体" w:hAnsi="宋体" w:cs="宋体"/>
                <w:sz w:val="24"/>
              </w:rPr>
            </w:pPr>
            <w:r>
              <w:rPr>
                <w:rFonts w:hint="eastAsia" w:ascii="宋体" w:hAnsi="宋体" w:cs="宋体"/>
                <w:sz w:val="24"/>
              </w:rPr>
              <w:t>产品安装及调试验收方案</w:t>
            </w:r>
          </w:p>
        </w:tc>
        <w:tc>
          <w:tcPr>
            <w:tcW w:w="706" w:type="dxa"/>
            <w:tcBorders>
              <w:top w:val="single" w:color="auto" w:sz="4" w:space="0"/>
              <w:left w:val="nil"/>
              <w:bottom w:val="single" w:color="auto" w:sz="4" w:space="0"/>
              <w:right w:val="single" w:color="auto" w:sz="4" w:space="0"/>
            </w:tcBorders>
            <w:vAlign w:val="center"/>
          </w:tcPr>
          <w:p w14:paraId="06A3C1DB">
            <w:pPr>
              <w:spacing w:line="420" w:lineRule="exact"/>
              <w:ind w:left="-40"/>
              <w:jc w:val="center"/>
              <w:rPr>
                <w:rFonts w:hint="eastAsia" w:ascii="宋体" w:hAnsi="宋体" w:cs="宋体"/>
                <w:sz w:val="24"/>
              </w:rPr>
            </w:pPr>
            <w:r>
              <w:rPr>
                <w:rFonts w:hint="eastAsia" w:ascii="宋体" w:hAnsi="宋体" w:cs="宋体"/>
                <w:sz w:val="24"/>
              </w:rPr>
              <w:t>5</w:t>
            </w:r>
          </w:p>
        </w:tc>
        <w:tc>
          <w:tcPr>
            <w:tcW w:w="6996" w:type="dxa"/>
            <w:tcBorders>
              <w:top w:val="single" w:color="auto" w:sz="4" w:space="0"/>
              <w:left w:val="nil"/>
              <w:bottom w:val="single" w:color="auto" w:sz="4" w:space="0"/>
              <w:right w:val="single" w:color="auto" w:sz="4" w:space="0"/>
            </w:tcBorders>
            <w:vAlign w:val="center"/>
          </w:tcPr>
          <w:p w14:paraId="23580F73">
            <w:pPr>
              <w:spacing w:line="420" w:lineRule="exact"/>
              <w:rPr>
                <w:rFonts w:hint="eastAsia" w:ascii="宋体" w:hAnsi="宋体" w:cs="宋体"/>
                <w:sz w:val="24"/>
              </w:rPr>
            </w:pPr>
            <w:r>
              <w:rPr>
                <w:rFonts w:hint="eastAsia" w:ascii="宋体" w:hAnsi="宋体" w:cs="宋体"/>
                <w:sz w:val="24"/>
              </w:rPr>
              <w:t>应提供明确的安装和调试验收方案，包含供货承诺及具体安排，并根据用户需求提供详细明确的安装计划及安装人员安排。根据响应情况，方案详细、措施合理的得5分，方案较详细、措施较合理的得3分，方案一般的得1分，未提供不得分。</w:t>
            </w:r>
          </w:p>
        </w:tc>
      </w:tr>
      <w:tr w14:paraId="3BFDD343">
        <w:tblPrEx>
          <w:tblCellMar>
            <w:top w:w="0" w:type="dxa"/>
            <w:left w:w="108" w:type="dxa"/>
            <w:bottom w:w="0" w:type="dxa"/>
            <w:right w:w="108" w:type="dxa"/>
          </w:tblCellMar>
        </w:tblPrEx>
        <w:trPr>
          <w:trHeight w:val="884" w:hRule="atLeast"/>
        </w:trPr>
        <w:tc>
          <w:tcPr>
            <w:tcW w:w="849" w:type="dxa"/>
            <w:tcBorders>
              <w:top w:val="single" w:color="auto" w:sz="4" w:space="0"/>
              <w:left w:val="single" w:color="auto" w:sz="4" w:space="0"/>
              <w:bottom w:val="single" w:color="auto" w:sz="4" w:space="0"/>
              <w:right w:val="single" w:color="auto" w:sz="4" w:space="0"/>
            </w:tcBorders>
            <w:vAlign w:val="center"/>
          </w:tcPr>
          <w:p w14:paraId="61F5843B">
            <w:pPr>
              <w:spacing w:line="420" w:lineRule="exact"/>
              <w:ind w:left="-40"/>
              <w:jc w:val="center"/>
              <w:rPr>
                <w:rFonts w:hint="eastAsia" w:ascii="宋体" w:hAnsi="宋体" w:cs="宋体"/>
                <w:sz w:val="24"/>
              </w:rPr>
            </w:pPr>
            <w:r>
              <w:rPr>
                <w:rFonts w:hint="eastAsia" w:ascii="宋体" w:hAnsi="宋体" w:cs="宋体"/>
                <w:sz w:val="24"/>
              </w:rPr>
              <w:t>5</w:t>
            </w:r>
          </w:p>
        </w:tc>
        <w:tc>
          <w:tcPr>
            <w:tcW w:w="1273" w:type="dxa"/>
            <w:tcBorders>
              <w:top w:val="single" w:color="auto" w:sz="4" w:space="0"/>
              <w:left w:val="nil"/>
              <w:bottom w:val="single" w:color="auto" w:sz="4" w:space="0"/>
              <w:right w:val="single" w:color="auto" w:sz="4" w:space="0"/>
            </w:tcBorders>
            <w:vAlign w:val="center"/>
          </w:tcPr>
          <w:p w14:paraId="4B2CA815">
            <w:pPr>
              <w:spacing w:line="420" w:lineRule="exact"/>
              <w:ind w:left="-40"/>
              <w:jc w:val="center"/>
              <w:rPr>
                <w:rFonts w:hint="eastAsia" w:ascii="宋体" w:hAnsi="宋体" w:cs="宋体"/>
                <w:sz w:val="24"/>
              </w:rPr>
            </w:pPr>
            <w:r>
              <w:rPr>
                <w:rFonts w:hint="eastAsia" w:ascii="宋体" w:hAnsi="宋体" w:cs="宋体"/>
                <w:sz w:val="24"/>
              </w:rPr>
              <w:t>售后服务</w:t>
            </w:r>
          </w:p>
        </w:tc>
        <w:tc>
          <w:tcPr>
            <w:tcW w:w="706" w:type="dxa"/>
            <w:tcBorders>
              <w:top w:val="single" w:color="auto" w:sz="4" w:space="0"/>
              <w:left w:val="nil"/>
              <w:bottom w:val="single" w:color="auto" w:sz="4" w:space="0"/>
              <w:right w:val="single" w:color="auto" w:sz="4" w:space="0"/>
            </w:tcBorders>
            <w:vAlign w:val="center"/>
          </w:tcPr>
          <w:p w14:paraId="30E52590">
            <w:pPr>
              <w:spacing w:line="420" w:lineRule="exact"/>
              <w:ind w:left="-40"/>
              <w:jc w:val="center"/>
              <w:rPr>
                <w:rFonts w:hint="eastAsia" w:ascii="宋体" w:hAnsi="宋体" w:cs="宋体"/>
                <w:sz w:val="24"/>
              </w:rPr>
            </w:pPr>
            <w:r>
              <w:rPr>
                <w:rFonts w:hint="eastAsia" w:ascii="宋体" w:hAnsi="宋体" w:cs="宋体"/>
                <w:sz w:val="24"/>
              </w:rPr>
              <w:t>5</w:t>
            </w:r>
          </w:p>
        </w:tc>
        <w:tc>
          <w:tcPr>
            <w:tcW w:w="6996" w:type="dxa"/>
            <w:tcBorders>
              <w:top w:val="single" w:color="auto" w:sz="4" w:space="0"/>
              <w:left w:val="nil"/>
              <w:bottom w:val="single" w:color="auto" w:sz="4" w:space="0"/>
              <w:right w:val="single" w:color="auto" w:sz="4" w:space="0"/>
            </w:tcBorders>
            <w:vAlign w:val="center"/>
          </w:tcPr>
          <w:p w14:paraId="606154A0">
            <w:pPr>
              <w:spacing w:line="420" w:lineRule="exact"/>
              <w:rPr>
                <w:rFonts w:hint="eastAsia" w:ascii="宋体" w:hAnsi="宋体" w:cs="宋体"/>
                <w:sz w:val="24"/>
              </w:rPr>
            </w:pPr>
            <w:r>
              <w:rPr>
                <w:rFonts w:hint="eastAsia" w:ascii="宋体" w:hAnsi="宋体" w:cs="宋体"/>
                <w:sz w:val="24"/>
              </w:rPr>
              <w:t>（1）提供切实可行的售后服务方案，技术服务人员，服务响应高效、服务标准和服务承诺明确具体，包括但不限于维保响应时间、专业维护队伍的完备、管理情况、产品运输、安装调试、检验、启动及产品出现质量问题时的维修维护方案等。根据响应情况，售后服务方案切实可行、投标文件重点突出、充分响应招标要求的得3分，售后服务方案可行性较高，投标文件重点较突出、大部分响应招标文件要求的得2分，售后服务方案可行性一般，投标文件对招标要求响应性一般的得1分，未提供不得分。</w:t>
            </w:r>
          </w:p>
          <w:p w14:paraId="0C2BCE72">
            <w:pPr>
              <w:spacing w:line="420" w:lineRule="exact"/>
              <w:rPr>
                <w:rFonts w:hint="eastAsia" w:ascii="宋体" w:hAnsi="宋体" w:cs="宋体"/>
                <w:sz w:val="24"/>
              </w:rPr>
            </w:pPr>
            <w:r>
              <w:rPr>
                <w:rFonts w:hint="eastAsia" w:ascii="宋体" w:hAnsi="宋体" w:cs="宋体"/>
                <w:sz w:val="24"/>
              </w:rPr>
              <w:t>（2）根据各供应商的质保承诺，综合比较（保修年限），结合售后服务体系的完善由评委酌情评定：本项目整机质保5年，供应商必须响应，否则做无效磋商处理。质保期每增加1年得1分，该项最高得2分。</w:t>
            </w:r>
          </w:p>
        </w:tc>
      </w:tr>
    </w:tbl>
    <w:p w14:paraId="545A6E7D">
      <w:pPr>
        <w:pStyle w:val="53"/>
      </w:pPr>
    </w:p>
    <w:p w14:paraId="68B64C49">
      <w:pPr>
        <w:snapToGrid w:val="0"/>
        <w:spacing w:before="156" w:beforeLines="50" w:line="360" w:lineRule="auto"/>
        <w:ind w:firstLine="482" w:firstLineChars="200"/>
        <w:jc w:val="left"/>
        <w:rPr>
          <w:b/>
          <w:bCs/>
          <w:sz w:val="24"/>
        </w:rPr>
      </w:pPr>
      <w:r>
        <w:rPr>
          <w:b/>
          <w:bCs/>
          <w:sz w:val="24"/>
        </w:rPr>
        <w:t>（二）价格标（满分</w:t>
      </w:r>
      <w:r>
        <w:rPr>
          <w:rFonts w:hint="eastAsia"/>
          <w:b/>
          <w:bCs/>
          <w:sz w:val="24"/>
        </w:rPr>
        <w:t>30</w:t>
      </w:r>
      <w:r>
        <w:rPr>
          <w:b/>
          <w:bCs/>
          <w:sz w:val="24"/>
        </w:rPr>
        <w:t>分）</w:t>
      </w:r>
    </w:p>
    <w:p w14:paraId="7E92FC15">
      <w:pPr>
        <w:snapToGrid w:val="0"/>
        <w:spacing w:line="360" w:lineRule="auto"/>
        <w:ind w:firstLine="480" w:firstLineChars="200"/>
        <w:jc w:val="left"/>
        <w:rPr>
          <w:sz w:val="24"/>
        </w:rPr>
      </w:pPr>
      <w:r>
        <w:rPr>
          <w:sz w:val="24"/>
        </w:rPr>
        <w:t>综合评分法中的价格分统一采用低价优先法计算，即满足磋商文件要求且最后报价最低的供应商的价格为评标基准价，其价格分为满分。其他供应商的价格分统一按照下列公式计算：</w:t>
      </w:r>
    </w:p>
    <w:p w14:paraId="230859BA">
      <w:pPr>
        <w:snapToGrid w:val="0"/>
        <w:spacing w:line="360" w:lineRule="auto"/>
        <w:ind w:firstLine="480" w:firstLineChars="200"/>
        <w:jc w:val="left"/>
        <w:rPr>
          <w:sz w:val="24"/>
        </w:rPr>
      </w:pPr>
      <w:r>
        <w:rPr>
          <w:sz w:val="24"/>
        </w:rPr>
        <w:t>磋商报价得分=（评标基准价/最后磋商报价）×</w:t>
      </w:r>
      <w:r>
        <w:rPr>
          <w:rFonts w:hint="eastAsia"/>
          <w:sz w:val="24"/>
        </w:rPr>
        <w:t>30</w:t>
      </w:r>
      <w:r>
        <w:rPr>
          <w:sz w:val="24"/>
        </w:rPr>
        <w:t>%×100</w:t>
      </w:r>
    </w:p>
    <w:p w14:paraId="291F1BDF">
      <w:pPr>
        <w:snapToGrid w:val="0"/>
        <w:spacing w:line="360" w:lineRule="auto"/>
        <w:ind w:firstLine="480" w:firstLineChars="200"/>
        <w:jc w:val="left"/>
        <w:rPr>
          <w:sz w:val="24"/>
        </w:rPr>
      </w:pPr>
      <w:r>
        <w:rPr>
          <w:sz w:val="24"/>
        </w:rPr>
        <w:t>项目评审过程中，不得去掉最后报价中的最高报价和最低报价。</w:t>
      </w:r>
    </w:p>
    <w:p w14:paraId="25A20FE2">
      <w:pPr>
        <w:pStyle w:val="15"/>
        <w:spacing w:after="0" w:line="360" w:lineRule="auto"/>
        <w:ind w:firstLine="482" w:firstLineChars="200"/>
      </w:pPr>
      <w:r>
        <w:rPr>
          <w:rFonts w:hint="eastAsia" w:ascii="宋体" w:hAnsi="宋体" w:cs="宋体"/>
          <w:b/>
          <w:sz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BF162A">
      <w:pPr>
        <w:snapToGrid w:val="0"/>
        <w:spacing w:line="480" w:lineRule="exact"/>
        <w:ind w:firstLine="555"/>
        <w:rPr>
          <w:b/>
          <w:sz w:val="24"/>
        </w:rPr>
      </w:pPr>
      <w:r>
        <w:rPr>
          <w:rFonts w:hint="eastAsia"/>
          <w:b/>
          <w:sz w:val="24"/>
        </w:rPr>
        <w:t>六</w:t>
      </w:r>
      <w:r>
        <w:rPr>
          <w:b/>
          <w:sz w:val="24"/>
        </w:rPr>
        <w:t>、变更为其他方式采购的情形</w:t>
      </w:r>
    </w:p>
    <w:p w14:paraId="7E1660A7">
      <w:pPr>
        <w:autoSpaceDE w:val="0"/>
        <w:autoSpaceDN w:val="0"/>
        <w:adjustRightInd w:val="0"/>
        <w:snapToGrid w:val="0"/>
        <w:spacing w:line="480" w:lineRule="exact"/>
        <w:ind w:firstLine="480" w:firstLineChars="200"/>
        <w:rPr>
          <w:sz w:val="24"/>
          <w:lang w:val="zh-CN"/>
        </w:rPr>
      </w:pPr>
      <w:r>
        <w:rPr>
          <w:sz w:val="24"/>
        </w:rPr>
        <w:t>提交响应文件截止时间时参加磋商的供应商不足3家的，及磋商中出现符合专业条件的供应商或对磋商文件作实质响应的供应商不足3家（规定可以2家的情形除外），采购任务取消，视情采取其他方式采购。</w:t>
      </w:r>
      <w:r>
        <w:rPr>
          <w:sz w:val="24"/>
          <w:lang w:val="zh-CN"/>
        </w:rPr>
        <w:t>磋商文件中对供应商资质、技术等要求，将作为</w:t>
      </w:r>
      <w:r>
        <w:rPr>
          <w:sz w:val="24"/>
        </w:rPr>
        <w:t>其他</w:t>
      </w:r>
      <w:r>
        <w:rPr>
          <w:sz w:val="24"/>
          <w:lang w:val="zh-CN"/>
        </w:rPr>
        <w:t>方式采购的基本要求和依据。原已经参加磋商并符合要求的供应商，根据自愿原则，参加</w:t>
      </w:r>
      <w:r>
        <w:rPr>
          <w:sz w:val="24"/>
        </w:rPr>
        <w:t>其他</w:t>
      </w:r>
      <w:r>
        <w:rPr>
          <w:sz w:val="24"/>
          <w:lang w:val="zh-CN"/>
        </w:rPr>
        <w:t>方式采购。</w:t>
      </w:r>
    </w:p>
    <w:p w14:paraId="3D83D1FA">
      <w:pPr>
        <w:pStyle w:val="85"/>
        <w:snapToGrid w:val="0"/>
        <w:spacing w:line="360" w:lineRule="auto"/>
        <w:ind w:firstLine="496"/>
        <w:contextualSpacing/>
        <w:rPr>
          <w:rFonts w:ascii="Times New Roman" w:hAnsi="Times New Roman" w:eastAsia="宋体"/>
          <w:sz w:val="24"/>
          <w:szCs w:val="24"/>
        </w:rPr>
      </w:pPr>
      <w:r>
        <w:rPr>
          <w:rFonts w:hint="eastAsia" w:ascii="Times New Roman" w:hAnsi="Times New Roman" w:eastAsia="宋体"/>
          <w:b/>
          <w:sz w:val="24"/>
          <w:szCs w:val="24"/>
        </w:rPr>
        <w:t>七</w:t>
      </w:r>
      <w:r>
        <w:rPr>
          <w:rFonts w:ascii="Times New Roman" w:hAnsi="Times New Roman" w:eastAsia="宋体"/>
          <w:b/>
          <w:sz w:val="24"/>
          <w:szCs w:val="24"/>
        </w:rPr>
        <w:t>、出现下列情形之一的，竞争性磋商采购活动终止，发布项目终止公告并说明原因，重新开展采购活动：</w:t>
      </w:r>
    </w:p>
    <w:p w14:paraId="108423A3">
      <w:pPr>
        <w:pStyle w:val="85"/>
        <w:snapToGrid w:val="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（一）因情况变化，不再符合规定的竞争性磋商采购方式适用情形的；</w:t>
      </w:r>
    </w:p>
    <w:p w14:paraId="085F0966">
      <w:pPr>
        <w:pStyle w:val="85"/>
        <w:snapToGrid w:val="0"/>
        <w:spacing w:line="360" w:lineRule="auto"/>
        <w:ind w:firstLine="494"/>
        <w:contextualSpacing/>
        <w:rPr>
          <w:rFonts w:ascii="Times New Roman" w:hAnsi="Times New Roman" w:eastAsia="宋体"/>
          <w:sz w:val="24"/>
          <w:szCs w:val="24"/>
        </w:rPr>
      </w:pPr>
      <w:r>
        <w:rPr>
          <w:rFonts w:ascii="Times New Roman" w:hAnsi="Times New Roman" w:eastAsia="宋体"/>
          <w:sz w:val="24"/>
          <w:szCs w:val="24"/>
        </w:rPr>
        <w:t>（二）出现影响采购公正的违法、违规行为的；</w:t>
      </w:r>
    </w:p>
    <w:p w14:paraId="7DEB83CE">
      <w:pPr>
        <w:pStyle w:val="85"/>
        <w:snapToGrid w:val="0"/>
        <w:spacing w:line="360" w:lineRule="auto"/>
        <w:ind w:firstLine="480" w:firstLineChars="200"/>
        <w:contextualSpacing/>
        <w:rPr>
          <w:rFonts w:ascii="Times New Roman" w:hAnsi="Times New Roman" w:eastAsia="宋体"/>
          <w:sz w:val="24"/>
          <w:szCs w:val="24"/>
        </w:rPr>
      </w:pPr>
      <w:r>
        <w:rPr>
          <w:rFonts w:ascii="Times New Roman" w:hAnsi="Times New Roman" w:eastAsia="宋体"/>
          <w:sz w:val="24"/>
          <w:szCs w:val="24"/>
        </w:rPr>
        <w:t>（三）在采购过程中符合要求的供应商或者报价未超过采购预算的供应商不足3家的（市场竞争不充分的科研项目，以及需要扶持的科技成果转化项目除外）。</w:t>
      </w:r>
    </w:p>
    <w:p w14:paraId="3B889BC9">
      <w:pPr>
        <w:autoSpaceDE w:val="0"/>
        <w:autoSpaceDN w:val="0"/>
        <w:adjustRightInd w:val="0"/>
        <w:snapToGrid w:val="0"/>
        <w:spacing w:line="360" w:lineRule="auto"/>
        <w:ind w:left="-178" w:right="210" w:firstLine="636"/>
        <w:rPr>
          <w:rFonts w:ascii="宋体" w:hAnsi="宋体" w:cs="宋体"/>
          <w:sz w:val="24"/>
        </w:rPr>
      </w:pPr>
      <w:r>
        <w:rPr>
          <w:rFonts w:hint="eastAsia"/>
          <w:b/>
          <w:sz w:val="24"/>
        </w:rPr>
        <w:t>八</w:t>
      </w:r>
      <w:r>
        <w:rPr>
          <w:b/>
          <w:sz w:val="24"/>
          <w:lang w:val="zh-CN"/>
        </w:rPr>
        <w:t>、成交通知</w:t>
      </w:r>
    </w:p>
    <w:p w14:paraId="60E21128">
      <w:pPr>
        <w:snapToGrid w:val="0"/>
        <w:spacing w:line="360" w:lineRule="auto"/>
        <w:ind w:firstLine="480"/>
        <w:jc w:val="left"/>
        <w:outlineLvl w:val="0"/>
        <w:rPr>
          <w:rFonts w:ascii="宋体" w:hAnsi="宋体" w:cs="宋体"/>
          <w:sz w:val="24"/>
        </w:rPr>
      </w:pPr>
      <w:r>
        <w:rPr>
          <w:rFonts w:hint="eastAsia" w:ascii="宋体" w:hAnsi="宋体" w:cs="宋体"/>
          <w:sz w:val="24"/>
        </w:rPr>
        <w:t>成交结果在东南大学南通海洋高等研究院官网采购公告栏公告，公告期限为1个工作日。《成交通知书》一经发出，采购人改变成交结果，或者成交供应商放弃成交的，各自承担相应的法律责任。《成交通知书》是采购合同的组成部分。</w:t>
      </w:r>
    </w:p>
    <w:p w14:paraId="260D378C">
      <w:pPr>
        <w:autoSpaceDE w:val="0"/>
        <w:autoSpaceDN w:val="0"/>
        <w:adjustRightInd w:val="0"/>
        <w:snapToGrid w:val="0"/>
        <w:spacing w:line="360" w:lineRule="auto"/>
        <w:ind w:left="-178" w:right="210" w:firstLine="636"/>
        <w:rPr>
          <w:b/>
          <w:sz w:val="24"/>
          <w:lang w:val="zh-CN"/>
        </w:rPr>
      </w:pPr>
      <w:r>
        <w:rPr>
          <w:rFonts w:hint="eastAsia"/>
          <w:b/>
          <w:sz w:val="24"/>
        </w:rPr>
        <w:t>九、</w:t>
      </w:r>
      <w:r>
        <w:rPr>
          <w:b/>
          <w:sz w:val="24"/>
          <w:lang w:val="zh-CN"/>
        </w:rPr>
        <w:t>其他</w:t>
      </w:r>
    </w:p>
    <w:p w14:paraId="2173322A">
      <w:pPr>
        <w:snapToGrid w:val="0"/>
        <w:spacing w:line="360" w:lineRule="auto"/>
        <w:ind w:firstLine="480"/>
        <w:jc w:val="left"/>
        <w:outlineLvl w:val="0"/>
        <w:rPr>
          <w:rFonts w:ascii="宋体" w:hAnsi="宋体" w:cs="宋体"/>
          <w:sz w:val="24"/>
        </w:rPr>
      </w:pPr>
      <w:r>
        <w:rPr>
          <w:rFonts w:hint="eastAsia" w:ascii="宋体" w:hAnsi="宋体" w:cs="宋体"/>
          <w:sz w:val="24"/>
        </w:rPr>
        <w:t>本项目第一中标候选人原则上为中标人。当排名第一的中标候选人放弃中标、因不可抗力不能履行合同，或者被查实存在影响中标结果的违规违法行为等情形，不符合中标条件的，招标人可以按照评标委员会提出的中标候选人名单排序依次确定其他中标候选人为中标人，也可以重新招标。</w:t>
      </w:r>
    </w:p>
    <w:p w14:paraId="781F68C7">
      <w:pPr>
        <w:snapToGrid w:val="0"/>
        <w:spacing w:line="360" w:lineRule="auto"/>
        <w:ind w:firstLine="480"/>
        <w:jc w:val="center"/>
        <w:outlineLvl w:val="0"/>
        <w:rPr>
          <w:rFonts w:ascii="仿宋_GB2312" w:hAnsi="宋体" w:eastAsia="仿宋_GB2312"/>
          <w:b/>
          <w:sz w:val="36"/>
          <w:szCs w:val="36"/>
        </w:rPr>
      </w:pPr>
      <w:r>
        <w:rPr>
          <w:rFonts w:hint="eastAsia" w:ascii="宋体" w:hAnsi="宋体" w:cs="宋体"/>
          <w:sz w:val="24"/>
        </w:rPr>
        <w:br w:type="page"/>
      </w:r>
      <w:r>
        <w:rPr>
          <w:rFonts w:hint="eastAsia" w:ascii="仿宋_GB2312" w:hAnsi="宋体" w:eastAsia="仿宋_GB2312"/>
          <w:b/>
          <w:sz w:val="36"/>
          <w:szCs w:val="36"/>
        </w:rPr>
        <w:t>第五部分  合同签订与验收付款</w:t>
      </w:r>
    </w:p>
    <w:p w14:paraId="15F34F3D">
      <w:pPr>
        <w:snapToGrid w:val="0"/>
        <w:spacing w:line="480" w:lineRule="exact"/>
        <w:ind w:firstLine="472" w:firstLineChars="196"/>
        <w:jc w:val="left"/>
        <w:rPr>
          <w:b/>
          <w:sz w:val="24"/>
        </w:rPr>
      </w:pPr>
    </w:p>
    <w:p w14:paraId="6F53A7AA">
      <w:pPr>
        <w:snapToGrid w:val="0"/>
        <w:spacing w:line="480" w:lineRule="exact"/>
        <w:ind w:firstLine="480" w:firstLineChars="200"/>
        <w:rPr>
          <w:sz w:val="24"/>
          <w:lang w:val="zh-CN"/>
        </w:rPr>
      </w:pPr>
      <w:r>
        <w:rPr>
          <w:sz w:val="24"/>
          <w:lang w:val="zh-CN"/>
        </w:rPr>
        <w:t>一、成交供应商和采购单位</w:t>
      </w:r>
      <w:r>
        <w:rPr>
          <w:rFonts w:hint="eastAsia" w:ascii="宋体" w:hAnsi="宋体"/>
          <w:sz w:val="24"/>
        </w:rPr>
        <w:t>需在</w:t>
      </w:r>
      <w:r>
        <w:rPr>
          <w:sz w:val="24"/>
          <w:lang w:val="zh-CN"/>
        </w:rPr>
        <w:t>《成交通知书》</w:t>
      </w:r>
      <w:r>
        <w:rPr>
          <w:rFonts w:hint="eastAsia"/>
          <w:sz w:val="24"/>
        </w:rPr>
        <w:t>发出之日起30日内</w:t>
      </w:r>
      <w:r>
        <w:rPr>
          <w:rFonts w:hint="eastAsia" w:ascii="宋体" w:hAnsi="宋体"/>
          <w:sz w:val="24"/>
        </w:rPr>
        <w:t>签订合同</w:t>
      </w:r>
      <w:r>
        <w:rPr>
          <w:sz w:val="24"/>
          <w:lang w:val="zh-CN"/>
        </w:rPr>
        <w:t>。合同签订后成交供应商方可履约，否则引起的一切后果由成交人自行承担。所签合同不得对采购文件作实质性修改。采购单位不得向成交供应商提出不合理的要求作为签订合同的条件，不得与成交供应商私下订立背离采购文件实质性内容的协议。</w:t>
      </w:r>
    </w:p>
    <w:p w14:paraId="00AAB541">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19BAE510">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1816B769">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14:paraId="6611FFB1">
      <w:pPr>
        <w:pStyle w:val="8"/>
        <w:kinsoku w:val="0"/>
        <w:topLinePunct/>
        <w:autoSpaceDE w:val="0"/>
        <w:autoSpaceDN w:val="0"/>
        <w:snapToGrid w:val="0"/>
        <w:spacing w:line="480" w:lineRule="exact"/>
        <w:ind w:right="210" w:firstLine="513" w:firstLineChars="214"/>
        <w:contextualSpacing/>
        <w:rPr>
          <w:b/>
        </w:rPr>
      </w:pPr>
      <w:r>
        <w:rPr>
          <w:lang w:val="zh-CN"/>
        </w:rPr>
        <w:t>五、</w:t>
      </w:r>
      <w:r>
        <w:rPr>
          <w:b/>
        </w:rPr>
        <w:t>不响应付款方式的，视同响应文件无效处理。</w:t>
      </w:r>
      <w:r>
        <w:rPr>
          <w:rFonts w:hint="eastAsia"/>
          <w:b/>
        </w:rPr>
        <w:t>实际付款方式以最终签订采购合同为准。</w:t>
      </w:r>
    </w:p>
    <w:p w14:paraId="185CEDB5">
      <w:pPr>
        <w:pStyle w:val="8"/>
        <w:kinsoku w:val="0"/>
        <w:topLinePunct/>
        <w:autoSpaceDE w:val="0"/>
        <w:autoSpaceDN w:val="0"/>
        <w:snapToGrid w:val="0"/>
        <w:spacing w:line="480" w:lineRule="exact"/>
        <w:ind w:right="210" w:firstLine="480" w:firstLineChars="200"/>
        <w:contextualSpacing/>
        <w:rPr>
          <w:lang w:val="zh-CN"/>
        </w:rPr>
      </w:pPr>
      <w:r>
        <w:t>款项由采购人按相关财务支付规定办理支付手续。不得故意拖延支付时间。</w:t>
      </w:r>
    </w:p>
    <w:p w14:paraId="431A9655">
      <w:pPr>
        <w:pStyle w:val="8"/>
        <w:kinsoku w:val="0"/>
        <w:topLinePunct/>
        <w:autoSpaceDE w:val="0"/>
        <w:autoSpaceDN w:val="0"/>
        <w:snapToGrid w:val="0"/>
        <w:spacing w:line="480" w:lineRule="exact"/>
        <w:ind w:right="210" w:firstLine="513" w:firstLineChars="214"/>
        <w:contextualSpacing/>
      </w:pPr>
      <w:r>
        <w:rPr>
          <w:rFonts w:hint="eastAsia"/>
        </w:rPr>
        <w:t>六、合同主要条款</w:t>
      </w:r>
    </w:p>
    <w:p w14:paraId="09DA9B1B">
      <w:pPr>
        <w:snapToGrid w:val="0"/>
        <w:spacing w:line="360" w:lineRule="auto"/>
        <w:ind w:firstLine="480" w:firstLineChars="200"/>
        <w:jc w:val="left"/>
        <w:rPr>
          <w:sz w:val="24"/>
        </w:rPr>
      </w:pPr>
    </w:p>
    <w:p w14:paraId="225D4CA7">
      <w:pPr>
        <w:snapToGrid w:val="0"/>
        <w:spacing w:line="360" w:lineRule="auto"/>
        <w:ind w:firstLine="480" w:firstLineChars="200"/>
        <w:jc w:val="left"/>
        <w:rPr>
          <w:sz w:val="24"/>
        </w:rPr>
      </w:pPr>
    </w:p>
    <w:p w14:paraId="2FD75DAF">
      <w:pPr>
        <w:adjustRightInd w:val="0"/>
        <w:snapToGrid w:val="0"/>
        <w:spacing w:line="360" w:lineRule="auto"/>
        <w:jc w:val="center"/>
        <w:rPr>
          <w:rFonts w:ascii="宋体" w:hAnsi="宋体" w:cs="宋体"/>
          <w:b/>
          <w:w w:val="80"/>
          <w:kern w:val="44"/>
          <w:sz w:val="36"/>
          <w:szCs w:val="36"/>
        </w:rPr>
      </w:pPr>
    </w:p>
    <w:p w14:paraId="14A15AF1">
      <w:pPr>
        <w:adjustRightInd w:val="0"/>
        <w:snapToGrid w:val="0"/>
        <w:spacing w:line="360" w:lineRule="auto"/>
        <w:jc w:val="center"/>
        <w:rPr>
          <w:rFonts w:ascii="宋体" w:hAnsi="宋体" w:cs="宋体"/>
          <w:b/>
          <w:w w:val="80"/>
          <w:kern w:val="44"/>
          <w:sz w:val="36"/>
          <w:szCs w:val="36"/>
        </w:rPr>
      </w:pPr>
    </w:p>
    <w:p w14:paraId="56E28DCF">
      <w:pPr>
        <w:adjustRightInd w:val="0"/>
        <w:snapToGrid w:val="0"/>
        <w:spacing w:line="360" w:lineRule="auto"/>
        <w:jc w:val="center"/>
        <w:rPr>
          <w:rFonts w:ascii="宋体" w:hAnsi="宋体" w:cs="宋体"/>
          <w:b/>
          <w:w w:val="80"/>
          <w:kern w:val="44"/>
          <w:sz w:val="36"/>
          <w:szCs w:val="36"/>
        </w:rPr>
      </w:pPr>
    </w:p>
    <w:p w14:paraId="52B647FD">
      <w:pPr>
        <w:adjustRightInd w:val="0"/>
        <w:snapToGrid w:val="0"/>
        <w:spacing w:line="360" w:lineRule="auto"/>
        <w:jc w:val="center"/>
        <w:rPr>
          <w:rFonts w:ascii="宋体" w:hAnsi="宋体" w:cs="宋体"/>
          <w:b/>
          <w:w w:val="80"/>
          <w:kern w:val="44"/>
          <w:sz w:val="36"/>
          <w:szCs w:val="36"/>
        </w:rPr>
      </w:pPr>
    </w:p>
    <w:p w14:paraId="5B7BC96A">
      <w:pPr>
        <w:adjustRightInd w:val="0"/>
        <w:snapToGrid w:val="0"/>
        <w:spacing w:line="360" w:lineRule="auto"/>
        <w:jc w:val="center"/>
        <w:rPr>
          <w:rFonts w:ascii="宋体" w:hAnsi="宋体" w:cs="宋体"/>
          <w:b/>
          <w:w w:val="80"/>
          <w:kern w:val="44"/>
          <w:sz w:val="36"/>
          <w:szCs w:val="36"/>
        </w:rPr>
      </w:pPr>
    </w:p>
    <w:p w14:paraId="5C64CBAD">
      <w:pPr>
        <w:adjustRightInd w:val="0"/>
        <w:snapToGrid w:val="0"/>
        <w:spacing w:line="360" w:lineRule="auto"/>
        <w:jc w:val="center"/>
        <w:rPr>
          <w:rFonts w:ascii="宋体" w:hAnsi="宋体" w:cs="宋体"/>
          <w:b/>
          <w:w w:val="80"/>
          <w:kern w:val="44"/>
          <w:sz w:val="36"/>
          <w:szCs w:val="36"/>
        </w:rPr>
      </w:pPr>
    </w:p>
    <w:p w14:paraId="508CAB23">
      <w:pPr>
        <w:adjustRightInd w:val="0"/>
        <w:snapToGrid w:val="0"/>
        <w:spacing w:line="360" w:lineRule="auto"/>
        <w:jc w:val="center"/>
        <w:rPr>
          <w:rFonts w:ascii="宋体" w:hAnsi="宋体" w:cs="宋体"/>
          <w:b/>
          <w:w w:val="80"/>
          <w:kern w:val="44"/>
          <w:sz w:val="36"/>
          <w:szCs w:val="36"/>
        </w:rPr>
      </w:pPr>
      <w:r>
        <w:rPr>
          <w:rFonts w:hint="eastAsia" w:ascii="宋体" w:hAnsi="宋体" w:cs="宋体"/>
          <w:b/>
          <w:w w:val="80"/>
          <w:kern w:val="44"/>
          <w:sz w:val="36"/>
          <w:szCs w:val="36"/>
        </w:rPr>
        <w:t>政府采购项目</w:t>
      </w:r>
    </w:p>
    <w:p w14:paraId="4872A1EA">
      <w:pPr>
        <w:spacing w:line="400" w:lineRule="exact"/>
        <w:jc w:val="center"/>
        <w:rPr>
          <w:rFonts w:ascii="宋体"/>
          <w:b/>
          <w:bCs/>
          <w:sz w:val="36"/>
          <w:szCs w:val="36"/>
        </w:rPr>
      </w:pPr>
      <w:r>
        <w:rPr>
          <w:rFonts w:hint="eastAsia" w:ascii="宋体" w:hAnsi="宋体" w:cs="宋体"/>
          <w:b/>
          <w:w w:val="80"/>
          <w:kern w:val="44"/>
          <w:sz w:val="36"/>
          <w:szCs w:val="36"/>
        </w:rPr>
        <w:t>合同书</w:t>
      </w:r>
    </w:p>
    <w:p w14:paraId="205647A2">
      <w:pPr>
        <w:spacing w:line="360" w:lineRule="auto"/>
        <w:rPr>
          <w:rFonts w:ascii="宋体" w:hAnsi="宋体" w:cs="宋体"/>
          <w:sz w:val="24"/>
        </w:rPr>
      </w:pPr>
      <w:r>
        <w:rPr>
          <w:rFonts w:hint="eastAsia" w:ascii="宋体" w:hAnsi="宋体" w:cs="宋体"/>
          <w:spacing w:val="46"/>
          <w:sz w:val="24"/>
        </w:rPr>
        <w:t>采购单</w:t>
      </w:r>
      <w:r>
        <w:rPr>
          <w:rFonts w:hint="eastAsia" w:ascii="宋体" w:hAnsi="宋体" w:cs="宋体"/>
          <w:spacing w:val="2"/>
          <w:sz w:val="24"/>
        </w:rPr>
        <w:t>位</w:t>
      </w:r>
      <w:r>
        <w:rPr>
          <w:rFonts w:hint="eastAsia" w:ascii="宋体" w:hAnsi="宋体" w:cs="宋体"/>
          <w:sz w:val="24"/>
        </w:rPr>
        <w:t>（或称甲方）：</w:t>
      </w:r>
    </w:p>
    <w:p w14:paraId="18137B70">
      <w:pPr>
        <w:spacing w:line="360" w:lineRule="auto"/>
        <w:rPr>
          <w:rFonts w:ascii="宋体" w:hAnsi="宋体" w:cs="宋体"/>
          <w:bCs/>
          <w:sz w:val="24"/>
        </w:rPr>
      </w:pPr>
      <w:r>
        <w:rPr>
          <w:rFonts w:hint="eastAsia" w:ascii="宋体" w:hAnsi="宋体" w:cs="宋体"/>
          <w:sz w:val="24"/>
        </w:rPr>
        <w:t>中标供应商（或称乙方）：</w:t>
      </w:r>
    </w:p>
    <w:p w14:paraId="4D9217B3">
      <w:pPr>
        <w:spacing w:line="360" w:lineRule="auto"/>
        <w:rPr>
          <w:rFonts w:ascii="宋体" w:hAnsi="宋体" w:cs="宋体"/>
          <w:sz w:val="24"/>
        </w:rPr>
      </w:pPr>
      <w:r>
        <w:rPr>
          <w:rFonts w:hint="eastAsia" w:ascii="宋体" w:hAnsi="宋体" w:cs="宋体"/>
          <w:sz w:val="24"/>
        </w:rPr>
        <w:t xml:space="preserve">签订时间：   </w:t>
      </w:r>
      <w:r>
        <w:rPr>
          <w:rFonts w:hint="eastAsia" w:ascii="宋体" w:hAnsi="宋体" w:cs="宋体"/>
          <w:sz w:val="24"/>
          <w:u w:val="single"/>
        </w:rPr>
        <w:t>年   月   日</w:t>
      </w:r>
    </w:p>
    <w:p w14:paraId="4EBEB8D6">
      <w:pPr>
        <w:spacing w:line="360" w:lineRule="auto"/>
        <w:rPr>
          <w:rFonts w:ascii="宋体" w:hAnsi="宋体" w:cs="宋体"/>
          <w:sz w:val="24"/>
        </w:rPr>
      </w:pPr>
      <w:r>
        <w:rPr>
          <w:rFonts w:hint="eastAsia" w:ascii="宋体" w:hAnsi="宋体" w:cs="宋体"/>
          <w:sz w:val="24"/>
        </w:rPr>
        <w:t>签订地点：</w:t>
      </w:r>
    </w:p>
    <w:p w14:paraId="3A9087BC">
      <w:pPr>
        <w:spacing w:line="360" w:lineRule="auto"/>
        <w:ind w:firstLine="480" w:firstLineChars="200"/>
        <w:rPr>
          <w:rFonts w:ascii="宋体" w:hAnsi="宋体" w:cs="宋体"/>
          <w:sz w:val="24"/>
        </w:rPr>
      </w:pPr>
      <w:r>
        <w:rPr>
          <w:rFonts w:hint="eastAsia" w:ascii="宋体" w:hAnsi="宋体" w:cs="宋体"/>
          <w:sz w:val="24"/>
        </w:rPr>
        <w:t>根据《政府采购法》、《民法典》及年月日（项目名称）</w:t>
      </w:r>
    </w:p>
    <w:p w14:paraId="6206504A">
      <w:pPr>
        <w:spacing w:line="360" w:lineRule="auto"/>
        <w:rPr>
          <w:rFonts w:ascii="宋体" w:hAnsi="宋体" w:cs="宋体"/>
          <w:sz w:val="24"/>
        </w:rPr>
      </w:pPr>
      <w:r>
        <w:rPr>
          <w:rFonts w:hint="eastAsia" w:ascii="宋体" w:hAnsi="宋体" w:cs="宋体"/>
          <w:sz w:val="24"/>
          <w:u w:val="single"/>
        </w:rPr>
        <w:t>采购</w:t>
      </w:r>
      <w:r>
        <w:rPr>
          <w:rFonts w:hint="eastAsia" w:ascii="宋体" w:hAnsi="宋体" w:cs="宋体"/>
          <w:sz w:val="24"/>
        </w:rPr>
        <w:t>项目(采购编号：)的采购结果、采购文件及投标文件，经双方协商一致，签订本合同。</w:t>
      </w:r>
    </w:p>
    <w:p w14:paraId="63BA2085">
      <w:pPr>
        <w:adjustRightInd w:val="0"/>
        <w:snapToGrid w:val="0"/>
        <w:spacing w:line="440" w:lineRule="exact"/>
        <w:ind w:firstLine="482" w:firstLineChars="200"/>
        <w:rPr>
          <w:rFonts w:ascii="宋体" w:hAnsi="宋体" w:cs="宋体"/>
          <w:b/>
          <w:sz w:val="24"/>
        </w:rPr>
      </w:pPr>
      <w:r>
        <w:rPr>
          <w:rFonts w:hint="eastAsia" w:ascii="宋体" w:hAnsi="宋体" w:cs="宋体"/>
          <w:b/>
          <w:sz w:val="24"/>
        </w:rPr>
        <w:t>一、项目概况</w:t>
      </w:r>
    </w:p>
    <w:p w14:paraId="566187FE">
      <w:pPr>
        <w:adjustRightInd w:val="0"/>
        <w:snapToGrid w:val="0"/>
        <w:spacing w:line="440" w:lineRule="exact"/>
        <w:ind w:firstLine="480" w:firstLineChars="200"/>
        <w:rPr>
          <w:rFonts w:hint="eastAsia" w:ascii="宋体" w:hAnsi="宋体" w:eastAsia="宋体" w:cs="宋体"/>
          <w:sz w:val="24"/>
          <w:u w:val="single"/>
          <w:lang w:eastAsia="zh-CN"/>
        </w:rPr>
      </w:pPr>
      <w:r>
        <w:rPr>
          <w:rFonts w:hint="eastAsia" w:ascii="宋体" w:hAnsi="宋体" w:cs="宋体"/>
          <w:sz w:val="24"/>
        </w:rPr>
        <w:t>项目名称：</w:t>
      </w:r>
      <w:r>
        <w:rPr>
          <w:rFonts w:hint="eastAsia"/>
          <w:sz w:val="24"/>
          <w:u w:val="single"/>
          <w:lang w:eastAsia="zh-CN"/>
        </w:rPr>
        <w:t>东南大学南通海洋高等研究院薄膜双向拉伸仪采购</w:t>
      </w:r>
    </w:p>
    <w:p w14:paraId="07726AFC">
      <w:pPr>
        <w:adjustRightInd w:val="0"/>
        <w:snapToGrid w:val="0"/>
        <w:spacing w:line="440" w:lineRule="exact"/>
        <w:ind w:firstLine="480" w:firstLineChars="200"/>
        <w:rPr>
          <w:rFonts w:ascii="宋体" w:hAnsi="宋体" w:cs="宋体"/>
          <w:sz w:val="24"/>
          <w:u w:val="single"/>
        </w:rPr>
      </w:pPr>
      <w:r>
        <w:rPr>
          <w:rFonts w:hint="eastAsia" w:ascii="宋体" w:hAnsi="宋体" w:cs="宋体"/>
          <w:sz w:val="24"/>
        </w:rPr>
        <w:t>项目地点：</w:t>
      </w:r>
    </w:p>
    <w:p w14:paraId="3A791377">
      <w:pPr>
        <w:adjustRightInd w:val="0"/>
        <w:snapToGrid w:val="0"/>
        <w:spacing w:line="440" w:lineRule="exact"/>
        <w:ind w:firstLine="482" w:firstLineChars="200"/>
        <w:rPr>
          <w:rFonts w:ascii="宋体" w:hAnsi="宋体" w:cs="宋体"/>
          <w:b/>
          <w:sz w:val="24"/>
        </w:rPr>
      </w:pPr>
      <w:r>
        <w:rPr>
          <w:rFonts w:hint="eastAsia" w:ascii="宋体" w:hAnsi="宋体" w:cs="宋体"/>
          <w:b/>
          <w:sz w:val="24"/>
        </w:rPr>
        <w:t>二、合同价款与付款方式</w:t>
      </w:r>
    </w:p>
    <w:p w14:paraId="0B296F73">
      <w:pPr>
        <w:adjustRightInd w:val="0"/>
        <w:snapToGrid w:val="0"/>
        <w:spacing w:line="440" w:lineRule="exact"/>
        <w:ind w:firstLine="480" w:firstLineChars="200"/>
        <w:rPr>
          <w:rFonts w:ascii="宋体" w:hAnsi="宋体" w:cs="宋体"/>
          <w:sz w:val="24"/>
        </w:rPr>
      </w:pPr>
      <w:r>
        <w:rPr>
          <w:rFonts w:hint="eastAsia" w:ascii="宋体" w:hAnsi="宋体" w:cs="宋体"/>
          <w:sz w:val="24"/>
        </w:rPr>
        <w:t>2.1本项目，双方约定合同价款为（大写：人民币）。</w:t>
      </w:r>
    </w:p>
    <w:p w14:paraId="5C1939FA">
      <w:pPr>
        <w:spacing w:line="360" w:lineRule="auto"/>
        <w:ind w:firstLine="480" w:firstLineChars="200"/>
        <w:rPr>
          <w:rFonts w:hint="eastAsia" w:ascii="宋体" w:hAnsi="宋体" w:cs="宋体"/>
          <w:sz w:val="24"/>
        </w:rPr>
      </w:pPr>
      <w:r>
        <w:rPr>
          <w:rFonts w:hint="eastAsia" w:ascii="宋体" w:hAnsi="宋体" w:cs="宋体"/>
          <w:sz w:val="24"/>
        </w:rPr>
        <w:t>2.2、付款方式：合同签定后支付 30%预付款，验收合格后发货前支付 50%货款，货到装机验收合格后支付20%货款。</w:t>
      </w:r>
    </w:p>
    <w:p w14:paraId="4F0ED62B">
      <w:pPr>
        <w:spacing w:line="360" w:lineRule="auto"/>
        <w:ind w:firstLine="480" w:firstLineChars="200"/>
        <w:rPr>
          <w:rFonts w:ascii="宋体" w:hAnsi="宋体" w:cs="宋体"/>
          <w:sz w:val="24"/>
        </w:rPr>
      </w:pPr>
      <w:r>
        <w:rPr>
          <w:rFonts w:hint="eastAsia" w:ascii="宋体" w:hAnsi="宋体" w:cs="宋体"/>
          <w:sz w:val="24"/>
        </w:rPr>
        <w:t>因成交供应商发票错误、迟延等问题而导致采购人无法付款的，采购人不承担责任。</w:t>
      </w:r>
    </w:p>
    <w:p w14:paraId="16FE2ADA">
      <w:pPr>
        <w:spacing w:line="360" w:lineRule="auto"/>
        <w:ind w:firstLine="482" w:firstLineChars="200"/>
        <w:rPr>
          <w:rFonts w:ascii="宋体" w:hAnsi="宋体" w:cs="宋体"/>
          <w:b/>
          <w:sz w:val="24"/>
        </w:rPr>
      </w:pPr>
      <w:r>
        <w:rPr>
          <w:rFonts w:hint="eastAsia" w:ascii="宋体" w:hAnsi="宋体" w:cs="宋体"/>
          <w:b/>
          <w:sz w:val="24"/>
        </w:rPr>
        <w:t>三、质量要求</w:t>
      </w:r>
    </w:p>
    <w:p w14:paraId="41990061">
      <w:pPr>
        <w:spacing w:line="500" w:lineRule="exact"/>
        <w:ind w:firstLine="480" w:firstLineChars="200"/>
        <w:outlineLvl w:val="1"/>
        <w:rPr>
          <w:rFonts w:ascii="宋体" w:hAnsi="宋体" w:cs="宋体"/>
          <w:sz w:val="24"/>
        </w:rPr>
      </w:pPr>
      <w:r>
        <w:rPr>
          <w:rFonts w:hint="eastAsia" w:ascii="宋体" w:hAnsi="宋体" w:cs="宋体"/>
          <w:sz w:val="24"/>
        </w:rPr>
        <w:t>1、乙方应保证货物是全新、未使用过的原厂合格产品，并完全符合投标文件及本合同规定的质量、规格和参数的要求。验收过程中发现不符合上述要求的，将视作不合格产品，甲方有权解除合同，造成的一切损失由乙方承担</w:t>
      </w:r>
      <w:r>
        <w:rPr>
          <w:rFonts w:ascii="宋体" w:hAnsi="宋体" w:cs="宋体"/>
          <w:sz w:val="24"/>
        </w:rPr>
        <w:t>，</w:t>
      </w:r>
      <w:r>
        <w:rPr>
          <w:rFonts w:hint="eastAsia" w:ascii="宋体" w:hAnsi="宋体" w:cs="宋体"/>
          <w:sz w:val="24"/>
          <w:lang w:eastAsia="zh-Hans"/>
        </w:rPr>
        <w:t>乙方退回所有已收款项且乙方应支付甲方合同总价</w:t>
      </w:r>
      <w:r>
        <w:rPr>
          <w:rFonts w:ascii="宋体" w:hAnsi="宋体" w:cs="宋体"/>
          <w:sz w:val="24"/>
          <w:lang w:eastAsia="zh-Hans"/>
        </w:rPr>
        <w:t>30%</w:t>
      </w:r>
      <w:r>
        <w:rPr>
          <w:rFonts w:hint="eastAsia" w:ascii="宋体" w:hAnsi="宋体" w:cs="宋体"/>
          <w:sz w:val="24"/>
          <w:lang w:eastAsia="zh-Hans"/>
        </w:rPr>
        <w:t>的违约金</w:t>
      </w:r>
      <w:r>
        <w:rPr>
          <w:rFonts w:hint="eastAsia" w:ascii="宋体" w:hAnsi="宋体" w:cs="宋体"/>
          <w:sz w:val="24"/>
        </w:rPr>
        <w:t>。</w:t>
      </w:r>
    </w:p>
    <w:p w14:paraId="662C38EB">
      <w:pPr>
        <w:spacing w:line="500" w:lineRule="exact"/>
        <w:ind w:firstLine="480" w:firstLineChars="200"/>
        <w:outlineLvl w:val="1"/>
        <w:rPr>
          <w:rFonts w:ascii="宋体" w:hAnsi="宋体" w:cs="宋体"/>
          <w:sz w:val="24"/>
        </w:rPr>
      </w:pPr>
      <w:r>
        <w:rPr>
          <w:rFonts w:hint="eastAsia" w:ascii="宋体" w:hAnsi="宋体" w:cs="宋体"/>
          <w:sz w:val="24"/>
        </w:rPr>
        <w:t>2、报价产品的技术标准按国家标准执行，无国家标准的，按行业标准执行，无国家和行业标准的，按企业标准执行；但在投标文件中有特别要求的，按投标文件中规定的要求执行，并且符合相关法律、法规规定的要求。</w:t>
      </w:r>
    </w:p>
    <w:p w14:paraId="78E47B59">
      <w:pPr>
        <w:spacing w:line="500" w:lineRule="exact"/>
        <w:ind w:firstLine="480" w:firstLineChars="200"/>
        <w:outlineLvl w:val="1"/>
        <w:rPr>
          <w:rFonts w:ascii="宋体" w:hAnsi="宋体" w:cs="宋体"/>
          <w:sz w:val="24"/>
        </w:rPr>
      </w:pPr>
      <w:r>
        <w:rPr>
          <w:rFonts w:hint="eastAsia" w:ascii="宋体" w:hAnsi="宋体" w:cs="宋体"/>
          <w:sz w:val="24"/>
        </w:rPr>
        <w:t>3、乙方应保证提供的产品不得侵犯第三方专利权、商标权和设计权、版权等。否则，乙方应负全部责任，并承担由此引起的一切后果</w:t>
      </w:r>
      <w:r>
        <w:rPr>
          <w:rFonts w:ascii="宋体" w:hAnsi="宋体" w:cs="宋体"/>
          <w:sz w:val="24"/>
        </w:rPr>
        <w:t>，</w:t>
      </w:r>
      <w:r>
        <w:rPr>
          <w:rFonts w:hint="eastAsia" w:ascii="宋体" w:hAnsi="宋体" w:cs="宋体"/>
          <w:sz w:val="24"/>
          <w:lang w:eastAsia="zh-Hans"/>
        </w:rPr>
        <w:t>乙方同时按给甲方造成直接经济损失的</w:t>
      </w:r>
      <w:r>
        <w:rPr>
          <w:rFonts w:ascii="宋体" w:hAnsi="宋体" w:cs="宋体"/>
          <w:sz w:val="24"/>
          <w:lang w:eastAsia="zh-Hans"/>
        </w:rPr>
        <w:t>30%</w:t>
      </w:r>
      <w:r>
        <w:rPr>
          <w:rFonts w:hint="eastAsia" w:ascii="宋体" w:hAnsi="宋体" w:cs="宋体"/>
          <w:sz w:val="24"/>
          <w:lang w:eastAsia="zh-Hans"/>
        </w:rPr>
        <w:t>支付违约金</w:t>
      </w:r>
      <w:r>
        <w:rPr>
          <w:rFonts w:hint="eastAsia" w:ascii="宋体" w:hAnsi="宋体" w:cs="宋体"/>
          <w:sz w:val="24"/>
        </w:rPr>
        <w:t>。</w:t>
      </w:r>
    </w:p>
    <w:p w14:paraId="52801B25">
      <w:pPr>
        <w:spacing w:line="500" w:lineRule="exact"/>
        <w:ind w:firstLine="480" w:firstLineChars="200"/>
        <w:outlineLvl w:val="1"/>
        <w:rPr>
          <w:rFonts w:ascii="宋体" w:hAnsi="宋体" w:cs="宋体"/>
          <w:sz w:val="24"/>
        </w:rPr>
      </w:pPr>
      <w:r>
        <w:rPr>
          <w:rFonts w:hint="eastAsia" w:ascii="宋体" w:hAnsi="宋体" w:cs="宋体"/>
          <w:sz w:val="24"/>
        </w:rPr>
        <w:t>4、乙方应保证其货物在正确安装、正常使用下，在其使用寿命期内应具有满意的性能。</w:t>
      </w:r>
    </w:p>
    <w:p w14:paraId="6A00C424">
      <w:pPr>
        <w:spacing w:line="500" w:lineRule="exact"/>
        <w:ind w:firstLine="480" w:firstLineChars="200"/>
        <w:outlineLvl w:val="1"/>
        <w:rPr>
          <w:rFonts w:ascii="宋体" w:hAnsi="宋体" w:cs="宋体"/>
          <w:sz w:val="24"/>
        </w:rPr>
      </w:pPr>
      <w:r>
        <w:rPr>
          <w:rFonts w:hint="eastAsia" w:ascii="宋体" w:hAnsi="宋体" w:cs="宋体"/>
          <w:sz w:val="24"/>
        </w:rPr>
        <w:t>5、乙方应采取必要的安全措施保证货物的运输及安装的安全，并承担货物的运输及安装过程中产生的风险。</w:t>
      </w:r>
    </w:p>
    <w:p w14:paraId="5FEDA580">
      <w:pPr>
        <w:spacing w:line="360" w:lineRule="auto"/>
        <w:ind w:firstLine="480" w:firstLineChars="200"/>
        <w:rPr>
          <w:rFonts w:ascii="宋体" w:hAnsi="宋体" w:cs="宋体"/>
          <w:sz w:val="24"/>
        </w:rPr>
      </w:pPr>
      <w:r>
        <w:rPr>
          <w:rFonts w:hint="eastAsia" w:ascii="宋体" w:hAnsi="宋体" w:cs="宋体"/>
          <w:sz w:val="24"/>
        </w:rPr>
        <w:t>6、供应商必须保证所提供的产品符合国家相应质量要求。</w:t>
      </w:r>
    </w:p>
    <w:p w14:paraId="1BE19878">
      <w:pPr>
        <w:adjustRightInd w:val="0"/>
        <w:snapToGrid w:val="0"/>
        <w:spacing w:line="480" w:lineRule="exact"/>
        <w:ind w:firstLine="482" w:firstLineChars="200"/>
        <w:jc w:val="left"/>
        <w:rPr>
          <w:rFonts w:ascii="宋体" w:hAnsi="宋体" w:cs="Calibri"/>
          <w:b/>
          <w:bCs/>
          <w:sz w:val="24"/>
        </w:rPr>
      </w:pPr>
      <w:r>
        <w:rPr>
          <w:rFonts w:hint="eastAsia" w:ascii="宋体" w:hAnsi="宋体" w:cs="Calibri"/>
          <w:b/>
          <w:bCs/>
          <w:sz w:val="24"/>
        </w:rPr>
        <w:t>四、交货期、地点</w:t>
      </w:r>
    </w:p>
    <w:p w14:paraId="24210F0C">
      <w:pPr>
        <w:snapToGrid w:val="0"/>
        <w:spacing w:line="480" w:lineRule="exact"/>
        <w:ind w:firstLine="480" w:firstLineChars="200"/>
        <w:rPr>
          <w:rFonts w:ascii="宋体" w:hAnsi="宋体" w:cs="Calibri"/>
          <w:sz w:val="24"/>
        </w:rPr>
      </w:pPr>
      <w:r>
        <w:rPr>
          <w:rFonts w:hint="eastAsia" w:ascii="宋体" w:hAnsi="宋体" w:cs="Calibri"/>
          <w:sz w:val="24"/>
        </w:rPr>
        <w:t>1、产品设备交付及安装调试服务日期：乙方需在签订合同后</w:t>
      </w:r>
      <w:r>
        <w:rPr>
          <w:rFonts w:ascii="宋体" w:hAnsi="宋体" w:cs="Calibri"/>
          <w:sz w:val="24"/>
          <w:u w:val="single"/>
        </w:rPr>
        <w:t xml:space="preserve"> </w:t>
      </w:r>
      <w:r>
        <w:rPr>
          <w:rFonts w:hint="eastAsia" w:ascii="宋体" w:hAnsi="宋体" w:cs="Calibri"/>
          <w:sz w:val="24"/>
          <w:u w:val="single"/>
          <w:lang w:val="en-US" w:eastAsia="zh-CN"/>
        </w:rPr>
        <w:t xml:space="preserve"> </w:t>
      </w:r>
      <w:r>
        <w:rPr>
          <w:rFonts w:ascii="宋体" w:hAnsi="宋体" w:cs="Calibri"/>
          <w:sz w:val="24"/>
          <w:u w:val="single"/>
        </w:rPr>
        <w:t xml:space="preserve"> </w:t>
      </w:r>
      <w:r>
        <w:rPr>
          <w:rFonts w:hint="eastAsia" w:ascii="宋体" w:hAnsi="宋体" w:cs="Calibri"/>
          <w:sz w:val="24"/>
        </w:rPr>
        <w:t>日历天内完成所有设备的安装调试</w:t>
      </w:r>
      <w:r>
        <w:rPr>
          <w:rFonts w:hint="eastAsia" w:ascii="宋体" w:hAnsi="宋体" w:cs="Calibri"/>
          <w:sz w:val="24"/>
          <w:lang w:eastAsia="zh-Hans"/>
        </w:rPr>
        <w:t>并通过甲方验收</w:t>
      </w:r>
      <w:r>
        <w:rPr>
          <w:rFonts w:hint="eastAsia" w:ascii="宋体" w:hAnsi="宋体" w:cs="Calibri"/>
          <w:sz w:val="24"/>
        </w:rPr>
        <w:t>。</w:t>
      </w:r>
    </w:p>
    <w:p w14:paraId="30720FD4">
      <w:pPr>
        <w:snapToGrid w:val="0"/>
        <w:spacing w:line="480" w:lineRule="exact"/>
        <w:ind w:firstLine="480" w:firstLineChars="200"/>
        <w:rPr>
          <w:rFonts w:ascii="宋体" w:hAnsi="宋体" w:cs="Calibri"/>
          <w:sz w:val="24"/>
        </w:rPr>
      </w:pPr>
      <w:r>
        <w:rPr>
          <w:rFonts w:ascii="宋体" w:hAnsi="宋体" w:cs="Calibri"/>
          <w:sz w:val="24"/>
        </w:rPr>
        <w:t>2</w:t>
      </w:r>
      <w:r>
        <w:rPr>
          <w:rFonts w:hint="eastAsia" w:ascii="宋体" w:hAnsi="宋体" w:cs="Calibri"/>
          <w:sz w:val="24"/>
        </w:rPr>
        <w:t>、交货地点：</w:t>
      </w:r>
      <w:r>
        <w:rPr>
          <w:rFonts w:hint="eastAsia" w:ascii="宋体" w:hAnsi="宋体" w:cs="Calibri"/>
          <w:sz w:val="24"/>
          <w:lang w:eastAsia="zh-Hans"/>
        </w:rPr>
        <w:t>乙方将</w:t>
      </w:r>
      <w:r>
        <w:rPr>
          <w:rFonts w:hint="eastAsia" w:ascii="宋体" w:hAnsi="宋体" w:cs="Calibri"/>
          <w:sz w:val="24"/>
        </w:rPr>
        <w:t>产品设备送至甲方指定的地点并负责安装、调试。</w:t>
      </w:r>
      <w:r>
        <w:rPr>
          <w:rFonts w:hint="eastAsia" w:ascii="宋体" w:hAnsi="宋体" w:cs="Calibri"/>
          <w:sz w:val="24"/>
          <w:lang w:eastAsia="zh-Hans"/>
        </w:rPr>
        <w:t>在通过甲方验收前</w:t>
      </w:r>
      <w:r>
        <w:rPr>
          <w:rFonts w:ascii="宋体" w:hAnsi="宋体" w:cs="Calibri"/>
          <w:sz w:val="24"/>
          <w:lang w:eastAsia="zh-Hans"/>
        </w:rPr>
        <w:t>，</w:t>
      </w:r>
      <w:r>
        <w:rPr>
          <w:rFonts w:hint="eastAsia" w:ascii="宋体" w:hAnsi="宋体" w:cs="Calibri"/>
          <w:sz w:val="24"/>
          <w:lang w:eastAsia="zh-Hans"/>
        </w:rPr>
        <w:t>货物灭失毁损的风险由乙方承担</w:t>
      </w:r>
      <w:r>
        <w:rPr>
          <w:rFonts w:ascii="宋体" w:hAnsi="宋体" w:cs="Calibri"/>
          <w:sz w:val="24"/>
          <w:lang w:eastAsia="zh-Hans"/>
        </w:rPr>
        <w:t>。</w:t>
      </w:r>
    </w:p>
    <w:p w14:paraId="7BC4B88C">
      <w:pPr>
        <w:adjustRightInd w:val="0"/>
        <w:snapToGrid w:val="0"/>
        <w:spacing w:line="480" w:lineRule="exact"/>
        <w:ind w:firstLine="482" w:firstLineChars="200"/>
        <w:jc w:val="left"/>
        <w:rPr>
          <w:rFonts w:ascii="宋体" w:hAnsi="宋体" w:cs="Calibri"/>
          <w:b/>
          <w:bCs/>
          <w:sz w:val="24"/>
        </w:rPr>
      </w:pPr>
      <w:r>
        <w:rPr>
          <w:rFonts w:hint="eastAsia" w:ascii="宋体" w:hAnsi="宋体" w:cs="Calibri"/>
          <w:b/>
          <w:bCs/>
          <w:sz w:val="24"/>
        </w:rPr>
        <w:t>五、质保期限及售后服务</w:t>
      </w:r>
    </w:p>
    <w:p w14:paraId="6D0B4908">
      <w:pPr>
        <w:spacing w:line="360" w:lineRule="auto"/>
        <w:ind w:firstLine="480" w:firstLineChars="200"/>
        <w:rPr>
          <w:rFonts w:hint="eastAsia" w:ascii="宋体" w:hAnsi="宋体" w:cs="宋体"/>
          <w:sz w:val="24"/>
        </w:rPr>
      </w:pPr>
      <w:r>
        <w:rPr>
          <w:rFonts w:hint="eastAsia" w:ascii="宋体" w:hAnsi="宋体" w:cs="宋体"/>
          <w:sz w:val="24"/>
        </w:rPr>
        <w:t xml:space="preserve">1、产品质保期为自相应货物验收合格之日起 </w:t>
      </w:r>
      <w:r>
        <w:rPr>
          <w:rFonts w:hint="eastAsia" w:ascii="宋体" w:hAnsi="宋体" w:cs="宋体"/>
          <w:sz w:val="24"/>
          <w:lang w:val="en-US" w:eastAsia="zh-CN"/>
        </w:rPr>
        <w:t>24</w:t>
      </w:r>
      <w:r>
        <w:rPr>
          <w:rFonts w:hint="eastAsia" w:ascii="宋体" w:hAnsi="宋体" w:cs="宋体"/>
          <w:sz w:val="24"/>
        </w:rPr>
        <w:t xml:space="preserve"> 个月或发货到用户现场之日起 </w:t>
      </w:r>
      <w:r>
        <w:rPr>
          <w:rFonts w:hint="eastAsia" w:ascii="宋体" w:hAnsi="宋体" w:cs="宋体"/>
          <w:sz w:val="24"/>
          <w:lang w:val="en-US" w:eastAsia="zh-CN"/>
        </w:rPr>
        <w:t>36</w:t>
      </w:r>
      <w:r>
        <w:rPr>
          <w:rFonts w:hint="eastAsia" w:ascii="宋体" w:hAnsi="宋体" w:cs="宋体"/>
          <w:sz w:val="24"/>
        </w:rPr>
        <w:t xml:space="preserve"> 个月，二者中先到者为准；</w:t>
      </w:r>
    </w:p>
    <w:p w14:paraId="0380C7F2">
      <w:pPr>
        <w:spacing w:line="360" w:lineRule="auto"/>
        <w:ind w:firstLine="480" w:firstLineChars="200"/>
        <w:rPr>
          <w:rFonts w:hint="eastAsia" w:ascii="宋体" w:hAnsi="宋体" w:cs="宋体"/>
          <w:sz w:val="24"/>
        </w:rPr>
      </w:pPr>
      <w:r>
        <w:rPr>
          <w:rFonts w:hint="eastAsia" w:ascii="宋体" w:hAnsi="宋体" w:cs="宋体"/>
          <w:sz w:val="24"/>
        </w:rPr>
        <w:t>2、质保期内，正常使用设备产生的故障，供方提供免费上门服务。期间内若因用户使用、管理不当所造成的损失由用户承担，本公司提供有偿服务；</w:t>
      </w:r>
    </w:p>
    <w:p w14:paraId="5DD92329">
      <w:pPr>
        <w:spacing w:line="360" w:lineRule="auto"/>
        <w:ind w:firstLine="480" w:firstLineChars="200"/>
        <w:rPr>
          <w:rFonts w:ascii="宋体" w:hAnsi="宋体" w:cs="宋体"/>
          <w:sz w:val="24"/>
        </w:rPr>
      </w:pPr>
      <w:r>
        <w:rPr>
          <w:rFonts w:hint="eastAsia" w:ascii="宋体" w:hAnsi="宋体" w:cs="宋体"/>
          <w:sz w:val="24"/>
        </w:rPr>
        <w:t>3、质保期满后，供方为产品提供终身有偿维修服务，并只收取所更换的材料成本费（若要上门安装需要收取人工与交通费），除此不收取其他费用；</w:t>
      </w:r>
    </w:p>
    <w:p w14:paraId="3B2520F6">
      <w:pPr>
        <w:spacing w:line="360" w:lineRule="auto"/>
        <w:ind w:firstLine="482" w:firstLineChars="200"/>
        <w:rPr>
          <w:rFonts w:ascii="宋体" w:hAnsi="宋体" w:cs="宋体"/>
          <w:b/>
          <w:sz w:val="24"/>
        </w:rPr>
      </w:pPr>
      <w:r>
        <w:rPr>
          <w:rFonts w:hint="eastAsia" w:ascii="宋体" w:hAnsi="宋体" w:cs="宋体"/>
          <w:b/>
          <w:sz w:val="24"/>
        </w:rPr>
        <w:t>六、售后服务及质保</w:t>
      </w:r>
    </w:p>
    <w:p w14:paraId="09EF615E">
      <w:pPr>
        <w:tabs>
          <w:tab w:val="left" w:pos="5325"/>
        </w:tabs>
        <w:snapToGrid w:val="0"/>
        <w:spacing w:line="360" w:lineRule="auto"/>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、技术培训：安装验收前，乙方先安排为期一次的培训，让使用人员对仪器的基本功能进行了解；安装验收后</w:t>
      </w:r>
      <w:r>
        <w:rPr>
          <w:rFonts w:hint="eastAsia" w:ascii="宋体" w:hAnsi="宋体" w:cs="宋体"/>
          <w:sz w:val="24"/>
          <w:lang w:eastAsia="zh-Hans"/>
        </w:rPr>
        <w:t>三个工作日内</w:t>
      </w:r>
      <w:r>
        <w:rPr>
          <w:rFonts w:hint="eastAsia" w:ascii="宋体" w:hAnsi="宋体" w:cs="宋体"/>
          <w:sz w:val="24"/>
        </w:rPr>
        <w:t>，于</w:t>
      </w:r>
      <w:r>
        <w:rPr>
          <w:rFonts w:hint="eastAsia" w:ascii="宋体" w:hAnsi="宋体" w:cs="宋体"/>
          <w:sz w:val="24"/>
          <w:lang w:eastAsia="zh-Hans"/>
        </w:rPr>
        <w:t>甲方</w:t>
      </w:r>
      <w:r>
        <w:rPr>
          <w:rFonts w:hint="eastAsia" w:ascii="宋体" w:hAnsi="宋体" w:cs="宋体"/>
          <w:sz w:val="24"/>
        </w:rPr>
        <w:t>现场进行至少一次的仪器操作与应用培训。</w:t>
      </w:r>
    </w:p>
    <w:p w14:paraId="117BA1B4">
      <w:pPr>
        <w:spacing w:line="360" w:lineRule="auto"/>
        <w:ind w:firstLine="482" w:firstLineChars="200"/>
        <w:rPr>
          <w:rFonts w:ascii="宋体" w:hAnsi="宋体" w:cs="宋体"/>
          <w:b/>
          <w:sz w:val="24"/>
        </w:rPr>
      </w:pPr>
      <w:r>
        <w:rPr>
          <w:rFonts w:hint="eastAsia" w:ascii="宋体" w:hAnsi="宋体" w:cs="宋体"/>
          <w:b/>
          <w:sz w:val="24"/>
        </w:rPr>
        <w:t>七、安装培训方面：</w:t>
      </w:r>
    </w:p>
    <w:p w14:paraId="637E1D74">
      <w:pPr>
        <w:tabs>
          <w:tab w:val="left" w:pos="5325"/>
        </w:tabs>
        <w:spacing w:line="360" w:lineRule="auto"/>
        <w:ind w:firstLine="480" w:firstLineChars="200"/>
        <w:rPr>
          <w:rFonts w:ascii="宋体" w:hAnsi="宋体" w:cs="宋体"/>
          <w:sz w:val="24"/>
        </w:rPr>
      </w:pPr>
      <w:r>
        <w:rPr>
          <w:rFonts w:hint="eastAsia" w:ascii="宋体" w:hAnsi="宋体" w:cs="宋体"/>
          <w:sz w:val="24"/>
        </w:rPr>
        <w:t>1、乙方应提供免费现场安装调试工作；</w:t>
      </w:r>
    </w:p>
    <w:p w14:paraId="005A05E5">
      <w:pPr>
        <w:tabs>
          <w:tab w:val="left" w:pos="5325"/>
        </w:tabs>
        <w:spacing w:line="360" w:lineRule="auto"/>
        <w:ind w:firstLine="480" w:firstLineChars="200"/>
        <w:rPr>
          <w:rFonts w:ascii="宋体" w:hAnsi="宋体" w:cs="宋体"/>
          <w:sz w:val="24"/>
        </w:rPr>
      </w:pPr>
      <w:r>
        <w:rPr>
          <w:rFonts w:hint="eastAsia" w:ascii="宋体" w:hAnsi="宋体" w:cs="宋体"/>
          <w:sz w:val="24"/>
        </w:rPr>
        <w:t>2、乙方应提供免费的1～2人的设备操作培训讲解，设备故障说明和简单的维修方法及日常的维护保养讲解。</w:t>
      </w:r>
    </w:p>
    <w:p w14:paraId="4CA84305">
      <w:pPr>
        <w:tabs>
          <w:tab w:val="left" w:pos="5325"/>
        </w:tabs>
        <w:spacing w:line="360" w:lineRule="auto"/>
        <w:ind w:firstLine="480" w:firstLineChars="200"/>
      </w:pPr>
      <w:r>
        <w:rPr>
          <w:rFonts w:hint="eastAsia" w:ascii="宋体" w:hAnsi="宋体" w:cs="宋体"/>
          <w:sz w:val="24"/>
        </w:rPr>
        <w:t>3、在出现故障或者其他问题需要维护服务时，乙方应在12小时内登门服务。24小时内修复，24小时不能修复的须免费提供备用设备至修复；</w:t>
      </w:r>
      <w:r>
        <w:rPr>
          <w:rFonts w:hint="eastAsia" w:ascii="宋体" w:hAnsi="宋体" w:cs="宋体"/>
          <w:sz w:val="24"/>
          <w:lang w:eastAsia="zh-Hans"/>
        </w:rPr>
        <w:t>如</w:t>
      </w:r>
      <w:r>
        <w:rPr>
          <w:rFonts w:ascii="宋体" w:hAnsi="宋体" w:cs="宋体"/>
          <w:sz w:val="24"/>
          <w:lang w:eastAsia="zh-Hans"/>
        </w:rPr>
        <w:t>96</w:t>
      </w:r>
      <w:r>
        <w:rPr>
          <w:rFonts w:hint="eastAsia" w:ascii="宋体" w:hAnsi="宋体" w:cs="宋体"/>
          <w:sz w:val="24"/>
          <w:lang w:eastAsia="zh-Hans"/>
        </w:rPr>
        <w:t>小时内仍无法修复的</w:t>
      </w:r>
      <w:r>
        <w:rPr>
          <w:rFonts w:ascii="宋体" w:hAnsi="宋体" w:cs="宋体"/>
          <w:sz w:val="24"/>
          <w:lang w:eastAsia="zh-Hans"/>
        </w:rPr>
        <w:t>，</w:t>
      </w:r>
      <w:r>
        <w:rPr>
          <w:rFonts w:hint="eastAsia" w:ascii="宋体" w:hAnsi="宋体" w:cs="宋体"/>
          <w:sz w:val="24"/>
          <w:lang w:eastAsia="zh-Hans"/>
        </w:rPr>
        <w:t>则应免费更换全新设备</w:t>
      </w:r>
      <w:r>
        <w:rPr>
          <w:rFonts w:ascii="宋体" w:hAnsi="宋体" w:cs="宋体"/>
          <w:sz w:val="24"/>
          <w:lang w:eastAsia="zh-Hans"/>
        </w:rPr>
        <w:t>。</w:t>
      </w:r>
    </w:p>
    <w:p w14:paraId="5F260AC4">
      <w:pPr>
        <w:adjustRightInd w:val="0"/>
        <w:snapToGrid w:val="0"/>
        <w:spacing w:line="440" w:lineRule="exact"/>
        <w:ind w:firstLine="482" w:firstLineChars="200"/>
        <w:rPr>
          <w:rFonts w:ascii="宋体" w:hAnsi="宋体" w:cs="宋体"/>
          <w:b/>
          <w:sz w:val="24"/>
        </w:rPr>
      </w:pPr>
      <w:r>
        <w:rPr>
          <w:rFonts w:hint="eastAsia" w:ascii="宋体" w:hAnsi="宋体" w:cs="宋体"/>
          <w:b/>
          <w:sz w:val="24"/>
        </w:rPr>
        <w:t>八、违约责任</w:t>
      </w:r>
    </w:p>
    <w:p w14:paraId="5CD28E8F">
      <w:pPr>
        <w:adjustRightInd w:val="0"/>
        <w:snapToGrid w:val="0"/>
        <w:spacing w:line="440" w:lineRule="exact"/>
        <w:ind w:firstLine="480" w:firstLineChars="200"/>
        <w:rPr>
          <w:rFonts w:ascii="宋体" w:hAnsi="宋体" w:cs="宋体"/>
          <w:sz w:val="24"/>
        </w:rPr>
      </w:pPr>
      <w:r>
        <w:rPr>
          <w:rFonts w:hint="eastAsia" w:ascii="宋体" w:hAnsi="宋体" w:cs="宋体"/>
          <w:sz w:val="24"/>
        </w:rPr>
        <w:t>1、甲方违约责任</w:t>
      </w:r>
    </w:p>
    <w:p w14:paraId="0B3B2466">
      <w:pPr>
        <w:adjustRightInd w:val="0"/>
        <w:snapToGrid w:val="0"/>
        <w:spacing w:line="440" w:lineRule="exact"/>
        <w:ind w:firstLine="480" w:firstLineChars="200"/>
        <w:rPr>
          <w:rFonts w:ascii="宋体" w:hAnsi="宋体" w:cs="宋体"/>
          <w:sz w:val="24"/>
        </w:rPr>
      </w:pPr>
      <w:r>
        <w:rPr>
          <w:rFonts w:hint="eastAsia" w:ascii="宋体" w:hAnsi="宋体" w:cs="宋体"/>
          <w:sz w:val="24"/>
        </w:rPr>
        <w:t>（1）甲方应按合同约定支付合同款。甲方未能按照合同约定履行应尽义务的，应补偿乙方相应费用</w:t>
      </w:r>
    </w:p>
    <w:p w14:paraId="31AA8162">
      <w:pPr>
        <w:adjustRightInd w:val="0"/>
        <w:snapToGrid w:val="0"/>
        <w:spacing w:line="440" w:lineRule="exact"/>
        <w:ind w:firstLine="480" w:firstLineChars="200"/>
        <w:rPr>
          <w:rFonts w:ascii="宋体" w:hAnsi="宋体" w:cs="宋体"/>
          <w:sz w:val="24"/>
        </w:rPr>
      </w:pPr>
      <w:r>
        <w:rPr>
          <w:rFonts w:hint="eastAsia" w:ascii="宋体" w:hAnsi="宋体" w:cs="宋体"/>
          <w:sz w:val="24"/>
        </w:rPr>
        <w:t>2、乙方违约责任</w:t>
      </w:r>
    </w:p>
    <w:p w14:paraId="17CC2FB0">
      <w:pPr>
        <w:adjustRightInd w:val="0"/>
        <w:snapToGrid w:val="0"/>
        <w:spacing w:line="440" w:lineRule="exact"/>
        <w:ind w:firstLine="480" w:firstLineChars="200"/>
        <w:rPr>
          <w:rFonts w:ascii="宋体" w:hAnsi="宋体" w:cs="宋体"/>
          <w:sz w:val="24"/>
        </w:rPr>
      </w:pPr>
      <w:r>
        <w:rPr>
          <w:rFonts w:hint="eastAsia" w:ascii="宋体" w:hAnsi="宋体" w:cs="宋体"/>
          <w:sz w:val="24"/>
        </w:rPr>
        <w:t>（1）未经甲方同意，乙方擅自将承包的项目进行分包或转包给他人，给甲方造成损失的，应承担赔偿责任。为此，甲方有权解除本合同</w:t>
      </w:r>
      <w:r>
        <w:rPr>
          <w:rFonts w:ascii="宋体" w:hAnsi="宋体" w:cs="宋体"/>
          <w:sz w:val="24"/>
        </w:rPr>
        <w:t>，</w:t>
      </w:r>
      <w:r>
        <w:rPr>
          <w:rFonts w:hint="eastAsia" w:ascii="宋体" w:hAnsi="宋体" w:cs="宋体"/>
          <w:sz w:val="24"/>
          <w:lang w:eastAsia="zh-Hans"/>
        </w:rPr>
        <w:t>乙方退回所有已收款项且乙方应支付甲方合同总价</w:t>
      </w:r>
      <w:r>
        <w:rPr>
          <w:rFonts w:ascii="宋体" w:hAnsi="宋体" w:cs="宋体"/>
          <w:sz w:val="24"/>
          <w:lang w:eastAsia="zh-Hans"/>
        </w:rPr>
        <w:t>30%</w:t>
      </w:r>
      <w:r>
        <w:rPr>
          <w:rFonts w:hint="eastAsia" w:ascii="宋体" w:hAnsi="宋体" w:cs="宋体"/>
          <w:sz w:val="24"/>
          <w:lang w:eastAsia="zh-Hans"/>
        </w:rPr>
        <w:t>的违约金</w:t>
      </w:r>
      <w:r>
        <w:rPr>
          <w:rFonts w:hint="eastAsia" w:ascii="宋体" w:hAnsi="宋体" w:cs="宋体"/>
          <w:sz w:val="24"/>
        </w:rPr>
        <w:t>。</w:t>
      </w:r>
    </w:p>
    <w:p w14:paraId="08FE6327">
      <w:pPr>
        <w:adjustRightInd w:val="0"/>
        <w:snapToGrid w:val="0"/>
        <w:spacing w:line="440" w:lineRule="exact"/>
        <w:ind w:firstLine="480" w:firstLineChars="200"/>
        <w:rPr>
          <w:rFonts w:ascii="宋体" w:hAnsi="宋体" w:cs="宋体"/>
          <w:sz w:val="24"/>
        </w:rPr>
      </w:pPr>
      <w:r>
        <w:rPr>
          <w:rFonts w:hint="eastAsia" w:ascii="宋体" w:hAnsi="宋体" w:cs="宋体"/>
          <w:sz w:val="24"/>
        </w:rPr>
        <w:t>（2）乙方严重违反合同约定，降低服务质量或导致甲方其他方面的严重损害，经甲方书面通知整改或警告后仍无效果的，一切责任由乙方自负，甲方有权解除本合同</w:t>
      </w:r>
      <w:r>
        <w:rPr>
          <w:rFonts w:ascii="宋体" w:hAnsi="宋体" w:cs="宋体"/>
          <w:sz w:val="24"/>
        </w:rPr>
        <w:t>，</w:t>
      </w:r>
      <w:r>
        <w:rPr>
          <w:rFonts w:hint="eastAsia" w:ascii="宋体" w:hAnsi="宋体" w:cs="宋体"/>
          <w:sz w:val="24"/>
          <w:lang w:eastAsia="zh-Hans"/>
        </w:rPr>
        <w:t>乙方退回所有已收款项且乙方应支付甲方合同总价</w:t>
      </w:r>
      <w:r>
        <w:rPr>
          <w:rFonts w:ascii="宋体" w:hAnsi="宋体" w:cs="宋体"/>
          <w:sz w:val="24"/>
          <w:lang w:eastAsia="zh-Hans"/>
        </w:rPr>
        <w:t>30%</w:t>
      </w:r>
      <w:r>
        <w:rPr>
          <w:rFonts w:hint="eastAsia" w:ascii="宋体" w:hAnsi="宋体" w:cs="宋体"/>
          <w:sz w:val="24"/>
          <w:lang w:eastAsia="zh-Hans"/>
        </w:rPr>
        <w:t>的违约金</w:t>
      </w:r>
      <w:r>
        <w:rPr>
          <w:rFonts w:hint="eastAsia" w:ascii="宋体" w:hAnsi="宋体" w:cs="宋体"/>
          <w:sz w:val="24"/>
        </w:rPr>
        <w:t>。</w:t>
      </w:r>
    </w:p>
    <w:p w14:paraId="16B06724">
      <w:pPr>
        <w:spacing w:line="500" w:lineRule="exact"/>
        <w:ind w:firstLine="480" w:firstLineChars="200"/>
        <w:outlineLvl w:val="1"/>
        <w:rPr>
          <w:rFonts w:ascii="宋体" w:hAnsi="宋体" w:cs="宋体"/>
          <w:sz w:val="24"/>
        </w:rPr>
      </w:pPr>
      <w:r>
        <w:rPr>
          <w:rFonts w:ascii="宋体" w:hAnsi="宋体" w:cs="宋体"/>
          <w:sz w:val="24"/>
        </w:rPr>
        <w:t>（3）</w:t>
      </w:r>
      <w:r>
        <w:rPr>
          <w:rFonts w:hint="eastAsia" w:ascii="宋体" w:hAnsi="宋体" w:cs="宋体"/>
          <w:sz w:val="24"/>
          <w:lang w:eastAsia="zh-Hans"/>
        </w:rPr>
        <w:t>乙方迟延通过甲方验收的</w:t>
      </w:r>
      <w:r>
        <w:rPr>
          <w:rFonts w:ascii="宋体" w:hAnsi="宋体" w:cs="宋体"/>
          <w:sz w:val="24"/>
          <w:lang w:eastAsia="zh-Hans"/>
        </w:rPr>
        <w:t>，</w:t>
      </w:r>
      <w:r>
        <w:rPr>
          <w:rFonts w:hint="eastAsia" w:ascii="宋体" w:hAnsi="宋体" w:cs="宋体"/>
          <w:sz w:val="24"/>
          <w:lang w:eastAsia="zh-Hans"/>
        </w:rPr>
        <w:t>每迟延一天</w:t>
      </w:r>
      <w:r>
        <w:rPr>
          <w:rFonts w:ascii="宋体" w:hAnsi="宋体" w:cs="宋体"/>
          <w:sz w:val="24"/>
          <w:lang w:eastAsia="zh-Hans"/>
        </w:rPr>
        <w:t>，</w:t>
      </w:r>
      <w:r>
        <w:rPr>
          <w:rFonts w:hint="eastAsia" w:ascii="宋体" w:hAnsi="宋体" w:cs="宋体"/>
          <w:sz w:val="24"/>
          <w:lang w:eastAsia="zh-Hans"/>
        </w:rPr>
        <w:t>按合同总价的万分之五</w:t>
      </w:r>
      <w:r>
        <w:rPr>
          <w:rFonts w:ascii="宋体" w:hAnsi="宋体" w:cs="宋体"/>
          <w:sz w:val="24"/>
          <w:lang w:eastAsia="zh-Hans"/>
        </w:rPr>
        <w:t>/</w:t>
      </w:r>
      <w:r>
        <w:rPr>
          <w:rFonts w:hint="eastAsia" w:ascii="宋体" w:hAnsi="宋体" w:cs="宋体"/>
          <w:sz w:val="24"/>
          <w:lang w:eastAsia="zh-Hans"/>
        </w:rPr>
        <w:t>日支付逾期违约金给甲方</w:t>
      </w:r>
      <w:r>
        <w:rPr>
          <w:rFonts w:ascii="宋体" w:hAnsi="宋体" w:cs="宋体"/>
          <w:sz w:val="24"/>
          <w:lang w:eastAsia="zh-Hans"/>
        </w:rPr>
        <w:t>，</w:t>
      </w:r>
      <w:r>
        <w:rPr>
          <w:rFonts w:hint="eastAsia" w:ascii="宋体" w:hAnsi="宋体" w:cs="宋体"/>
          <w:sz w:val="24"/>
          <w:lang w:eastAsia="zh-Hans"/>
        </w:rPr>
        <w:t>迟延超过</w:t>
      </w:r>
      <w:r>
        <w:rPr>
          <w:rFonts w:ascii="宋体" w:hAnsi="宋体" w:cs="宋体"/>
          <w:sz w:val="24"/>
          <w:lang w:eastAsia="zh-Hans"/>
        </w:rPr>
        <w:t>15</w:t>
      </w:r>
      <w:r>
        <w:rPr>
          <w:rFonts w:hint="eastAsia" w:ascii="宋体" w:hAnsi="宋体" w:cs="宋体"/>
          <w:sz w:val="24"/>
          <w:lang w:eastAsia="zh-Hans"/>
        </w:rPr>
        <w:t>日</w:t>
      </w:r>
      <w:r>
        <w:rPr>
          <w:rFonts w:ascii="宋体" w:hAnsi="宋体" w:cs="宋体"/>
          <w:sz w:val="24"/>
          <w:lang w:eastAsia="zh-Hans"/>
        </w:rPr>
        <w:t>，</w:t>
      </w:r>
      <w:r>
        <w:rPr>
          <w:rFonts w:hint="eastAsia" w:ascii="宋体" w:hAnsi="宋体" w:cs="宋体"/>
          <w:sz w:val="24"/>
        </w:rPr>
        <w:t>甲方有权解除本合同</w:t>
      </w:r>
      <w:r>
        <w:rPr>
          <w:rFonts w:ascii="宋体" w:hAnsi="宋体" w:cs="宋体"/>
          <w:sz w:val="24"/>
        </w:rPr>
        <w:t>，</w:t>
      </w:r>
      <w:r>
        <w:rPr>
          <w:rFonts w:hint="eastAsia" w:ascii="宋体" w:hAnsi="宋体" w:cs="宋体"/>
          <w:sz w:val="24"/>
          <w:lang w:eastAsia="zh-Hans"/>
        </w:rPr>
        <w:t>乙方退回所有已收款项且乙方应支付甲方合同总价</w:t>
      </w:r>
      <w:r>
        <w:rPr>
          <w:rFonts w:ascii="宋体" w:hAnsi="宋体" w:cs="宋体"/>
          <w:sz w:val="24"/>
          <w:lang w:eastAsia="zh-Hans"/>
        </w:rPr>
        <w:t>30%</w:t>
      </w:r>
      <w:r>
        <w:rPr>
          <w:rFonts w:hint="eastAsia" w:ascii="宋体" w:hAnsi="宋体" w:cs="宋体"/>
          <w:sz w:val="24"/>
          <w:lang w:eastAsia="zh-Hans"/>
        </w:rPr>
        <w:t>的违约金</w:t>
      </w:r>
      <w:r>
        <w:rPr>
          <w:rFonts w:hint="eastAsia" w:ascii="宋体" w:hAnsi="宋体" w:cs="宋体"/>
          <w:sz w:val="24"/>
        </w:rPr>
        <w:t>。</w:t>
      </w:r>
    </w:p>
    <w:p w14:paraId="7126410C">
      <w:pPr>
        <w:adjustRightInd w:val="0"/>
        <w:snapToGrid w:val="0"/>
        <w:spacing w:line="440" w:lineRule="exact"/>
        <w:ind w:firstLine="480" w:firstLineChars="200"/>
        <w:rPr>
          <w:rFonts w:ascii="宋体" w:hAnsi="宋体" w:cs="宋体"/>
          <w:sz w:val="24"/>
          <w:lang w:eastAsia="zh-Hans"/>
        </w:rPr>
      </w:pPr>
      <w:r>
        <w:rPr>
          <w:rFonts w:ascii="宋体" w:hAnsi="宋体" w:cs="宋体"/>
          <w:sz w:val="24"/>
        </w:rPr>
        <w:t>（4）</w:t>
      </w:r>
      <w:r>
        <w:rPr>
          <w:rFonts w:hint="eastAsia" w:ascii="宋体" w:hAnsi="宋体" w:cs="宋体"/>
          <w:sz w:val="24"/>
          <w:lang w:eastAsia="zh-Hans"/>
        </w:rPr>
        <w:t>乙方迟延提供培训服务的</w:t>
      </w:r>
      <w:r>
        <w:rPr>
          <w:rFonts w:ascii="宋体" w:hAnsi="宋体" w:cs="宋体"/>
          <w:sz w:val="24"/>
          <w:lang w:eastAsia="zh-Hans"/>
        </w:rPr>
        <w:t>，</w:t>
      </w:r>
      <w:r>
        <w:rPr>
          <w:rFonts w:hint="eastAsia" w:ascii="宋体" w:hAnsi="宋体" w:cs="宋体"/>
          <w:sz w:val="24"/>
          <w:lang w:eastAsia="zh-Hans"/>
        </w:rPr>
        <w:t>每迟延一天</w:t>
      </w:r>
      <w:r>
        <w:rPr>
          <w:rFonts w:ascii="宋体" w:hAnsi="宋体" w:cs="宋体"/>
          <w:sz w:val="24"/>
          <w:lang w:eastAsia="zh-Hans"/>
        </w:rPr>
        <w:t>，</w:t>
      </w:r>
      <w:r>
        <w:rPr>
          <w:rFonts w:hint="eastAsia" w:ascii="宋体" w:hAnsi="宋体" w:cs="宋体"/>
          <w:sz w:val="24"/>
          <w:lang w:eastAsia="zh-Hans"/>
        </w:rPr>
        <w:t>按</w:t>
      </w:r>
      <w:r>
        <w:rPr>
          <w:rFonts w:ascii="宋体" w:hAnsi="宋体" w:cs="宋体"/>
          <w:sz w:val="24"/>
          <w:lang w:eastAsia="zh-Hans"/>
        </w:rPr>
        <w:t>1000</w:t>
      </w:r>
      <w:r>
        <w:rPr>
          <w:rFonts w:hint="eastAsia" w:ascii="宋体" w:hAnsi="宋体" w:cs="宋体"/>
          <w:sz w:val="24"/>
          <w:lang w:eastAsia="zh-Hans"/>
        </w:rPr>
        <w:t>元</w:t>
      </w:r>
      <w:r>
        <w:rPr>
          <w:rFonts w:ascii="宋体" w:hAnsi="宋体" w:cs="宋体"/>
          <w:sz w:val="24"/>
          <w:lang w:eastAsia="zh-Hans"/>
        </w:rPr>
        <w:t>/</w:t>
      </w:r>
      <w:r>
        <w:rPr>
          <w:rFonts w:hint="eastAsia" w:ascii="宋体" w:hAnsi="宋体" w:cs="宋体"/>
          <w:sz w:val="24"/>
          <w:lang w:eastAsia="zh-Hans"/>
        </w:rPr>
        <w:t>天支付违约金</w:t>
      </w:r>
      <w:r>
        <w:rPr>
          <w:rFonts w:ascii="宋体" w:hAnsi="宋体" w:cs="宋体"/>
          <w:sz w:val="24"/>
          <w:lang w:eastAsia="zh-Hans"/>
        </w:rPr>
        <w:t>。</w:t>
      </w:r>
    </w:p>
    <w:p w14:paraId="70BA20FD">
      <w:pPr>
        <w:adjustRightInd w:val="0"/>
        <w:snapToGrid w:val="0"/>
        <w:spacing w:line="440" w:lineRule="exact"/>
        <w:ind w:firstLine="480" w:firstLineChars="200"/>
        <w:rPr>
          <w:rFonts w:ascii="宋体" w:hAnsi="宋体" w:cs="宋体"/>
          <w:b/>
          <w:sz w:val="24"/>
        </w:rPr>
      </w:pPr>
      <w:r>
        <w:rPr>
          <w:rFonts w:ascii="宋体" w:hAnsi="宋体" w:cs="宋体"/>
          <w:sz w:val="24"/>
          <w:lang w:eastAsia="zh-Hans"/>
        </w:rPr>
        <w:t>（5）</w:t>
      </w:r>
      <w:r>
        <w:rPr>
          <w:rFonts w:hint="eastAsia" w:ascii="宋体" w:hAnsi="宋体" w:cs="宋体"/>
          <w:sz w:val="24"/>
          <w:lang w:eastAsia="zh-Hans"/>
        </w:rPr>
        <w:t>乙方迟延提供登门维修服务的</w:t>
      </w:r>
      <w:r>
        <w:rPr>
          <w:rFonts w:ascii="宋体" w:hAnsi="宋体" w:cs="宋体"/>
          <w:sz w:val="24"/>
          <w:lang w:eastAsia="zh-Hans"/>
        </w:rPr>
        <w:t>，</w:t>
      </w:r>
      <w:r>
        <w:rPr>
          <w:rFonts w:hint="eastAsia" w:ascii="宋体" w:hAnsi="宋体" w:cs="宋体"/>
          <w:sz w:val="24"/>
          <w:lang w:eastAsia="zh-Hans"/>
        </w:rPr>
        <w:t>每迟延</w:t>
      </w:r>
      <w:r>
        <w:rPr>
          <w:rFonts w:ascii="宋体" w:hAnsi="宋体" w:cs="宋体"/>
          <w:sz w:val="24"/>
          <w:lang w:eastAsia="zh-Hans"/>
        </w:rPr>
        <w:t>1</w:t>
      </w:r>
      <w:r>
        <w:rPr>
          <w:rFonts w:hint="eastAsia" w:ascii="宋体" w:hAnsi="宋体" w:cs="宋体"/>
          <w:sz w:val="24"/>
          <w:lang w:eastAsia="zh-Hans"/>
        </w:rPr>
        <w:t>小时</w:t>
      </w:r>
      <w:r>
        <w:rPr>
          <w:rFonts w:ascii="宋体" w:hAnsi="宋体" w:cs="宋体"/>
          <w:sz w:val="24"/>
          <w:lang w:eastAsia="zh-Hans"/>
        </w:rPr>
        <w:t>，</w:t>
      </w:r>
      <w:r>
        <w:rPr>
          <w:rFonts w:hint="eastAsia" w:ascii="宋体" w:hAnsi="宋体" w:cs="宋体"/>
          <w:sz w:val="24"/>
          <w:lang w:eastAsia="zh-Hans"/>
        </w:rPr>
        <w:t>按</w:t>
      </w:r>
      <w:r>
        <w:rPr>
          <w:rFonts w:ascii="宋体" w:hAnsi="宋体" w:cs="宋体"/>
          <w:sz w:val="24"/>
          <w:lang w:eastAsia="zh-Hans"/>
        </w:rPr>
        <w:t>300/</w:t>
      </w:r>
      <w:r>
        <w:rPr>
          <w:rFonts w:hint="eastAsia" w:ascii="宋体" w:hAnsi="宋体" w:cs="宋体"/>
          <w:sz w:val="24"/>
          <w:lang w:eastAsia="zh-Hans"/>
        </w:rPr>
        <w:t>小时支付违约金</w:t>
      </w:r>
      <w:r>
        <w:rPr>
          <w:rFonts w:hint="eastAsia" w:ascii="宋体" w:hAnsi="宋体" w:cs="宋体"/>
          <w:sz w:val="24"/>
        </w:rPr>
        <w:t>。</w:t>
      </w:r>
    </w:p>
    <w:p w14:paraId="262A449A">
      <w:pPr>
        <w:adjustRightInd w:val="0"/>
        <w:snapToGrid w:val="0"/>
        <w:spacing w:line="440" w:lineRule="exact"/>
        <w:ind w:firstLine="482" w:firstLineChars="200"/>
        <w:rPr>
          <w:rFonts w:ascii="宋体" w:hAnsi="宋体" w:cs="宋体"/>
          <w:b/>
          <w:sz w:val="24"/>
        </w:rPr>
      </w:pPr>
      <w:r>
        <w:rPr>
          <w:rFonts w:hint="eastAsia" w:ascii="宋体" w:hAnsi="宋体" w:cs="宋体"/>
          <w:b/>
          <w:sz w:val="24"/>
        </w:rPr>
        <w:t>九、合同的生效及备案</w:t>
      </w:r>
    </w:p>
    <w:p w14:paraId="2BA30C64">
      <w:pPr>
        <w:pStyle w:val="20"/>
        <w:spacing w:line="520" w:lineRule="exact"/>
        <w:ind w:firstLine="480" w:firstLineChars="200"/>
        <w:rPr>
          <w:rFonts w:hAnsi="宋体" w:cs="宋体"/>
          <w:sz w:val="24"/>
          <w:szCs w:val="24"/>
        </w:rPr>
      </w:pPr>
      <w:r>
        <w:rPr>
          <w:rFonts w:hint="eastAsia" w:hAnsi="宋体" w:cs="宋体"/>
          <w:sz w:val="24"/>
          <w:szCs w:val="24"/>
        </w:rPr>
        <w:t>本合同在甲乙双方签字盖章后即生效。</w:t>
      </w:r>
    </w:p>
    <w:p w14:paraId="635D5D24">
      <w:pPr>
        <w:adjustRightInd w:val="0"/>
        <w:snapToGrid w:val="0"/>
        <w:spacing w:line="440" w:lineRule="exact"/>
        <w:ind w:firstLine="482" w:firstLineChars="200"/>
        <w:rPr>
          <w:rFonts w:ascii="宋体" w:hAnsi="宋体" w:cs="宋体"/>
          <w:b/>
          <w:sz w:val="24"/>
        </w:rPr>
      </w:pPr>
      <w:r>
        <w:rPr>
          <w:rFonts w:hint="eastAsia" w:ascii="宋体" w:hAnsi="宋体" w:cs="宋体"/>
          <w:b/>
          <w:sz w:val="24"/>
        </w:rPr>
        <w:t>十、争议的解决</w:t>
      </w:r>
    </w:p>
    <w:p w14:paraId="1F2AC1D4">
      <w:pPr>
        <w:pStyle w:val="20"/>
        <w:spacing w:line="520" w:lineRule="exact"/>
        <w:ind w:firstLine="480" w:firstLineChars="200"/>
        <w:rPr>
          <w:rFonts w:hAnsi="宋体" w:cs="宋体"/>
          <w:sz w:val="24"/>
          <w:szCs w:val="24"/>
        </w:rPr>
      </w:pPr>
      <w:r>
        <w:rPr>
          <w:rFonts w:hint="eastAsia" w:hAnsi="宋体" w:cs="宋体"/>
          <w:sz w:val="24"/>
          <w:szCs w:val="24"/>
        </w:rPr>
        <w:t>甲乙双方因合同发生争议，应</w:t>
      </w:r>
      <w:r>
        <w:rPr>
          <w:rFonts w:hint="eastAsia" w:hAnsi="宋体" w:cs="宋体"/>
          <w:sz w:val="24"/>
          <w:szCs w:val="24"/>
          <w:lang w:eastAsia="zh-Hans"/>
        </w:rPr>
        <w:t>友好协商</w:t>
      </w:r>
      <w:r>
        <w:rPr>
          <w:rFonts w:hint="eastAsia" w:hAnsi="宋体" w:cs="宋体"/>
          <w:sz w:val="24"/>
          <w:szCs w:val="24"/>
        </w:rPr>
        <w:t>，协商不成，任何一方可以向南通仲裁委员会申请仲裁解决。</w:t>
      </w:r>
    </w:p>
    <w:p w14:paraId="3B457FB9">
      <w:pPr>
        <w:adjustRightInd w:val="0"/>
        <w:snapToGrid w:val="0"/>
        <w:spacing w:line="440" w:lineRule="exact"/>
        <w:ind w:firstLine="482" w:firstLineChars="200"/>
        <w:rPr>
          <w:rFonts w:ascii="宋体" w:hAnsi="宋体" w:cs="宋体"/>
          <w:b/>
          <w:sz w:val="24"/>
        </w:rPr>
      </w:pPr>
      <w:r>
        <w:rPr>
          <w:rFonts w:hint="eastAsia" w:ascii="宋体" w:hAnsi="宋体" w:cs="宋体"/>
          <w:b/>
          <w:sz w:val="24"/>
        </w:rPr>
        <w:t>十一、附则</w:t>
      </w:r>
    </w:p>
    <w:p w14:paraId="411EC291">
      <w:pPr>
        <w:pStyle w:val="20"/>
        <w:spacing w:line="520" w:lineRule="exact"/>
        <w:ind w:firstLine="480" w:firstLineChars="200"/>
        <w:rPr>
          <w:rFonts w:hAnsi="宋体" w:cs="宋体"/>
          <w:sz w:val="24"/>
          <w:szCs w:val="24"/>
        </w:rPr>
      </w:pPr>
      <w:r>
        <w:rPr>
          <w:rFonts w:hint="eastAsia" w:hAnsi="宋体" w:cs="宋体"/>
          <w:sz w:val="24"/>
          <w:szCs w:val="24"/>
        </w:rPr>
        <w:t>1、合同份数：本合同一式</w:t>
      </w:r>
      <w:r>
        <w:rPr>
          <w:rFonts w:hint="eastAsia" w:hAnsi="宋体" w:cs="宋体"/>
          <w:sz w:val="24"/>
          <w:szCs w:val="24"/>
          <w:lang w:val="en-US" w:eastAsia="zh-CN"/>
        </w:rPr>
        <w:t>陆</w:t>
      </w:r>
      <w:r>
        <w:rPr>
          <w:rFonts w:hint="eastAsia" w:hAnsi="宋体" w:cs="宋体"/>
          <w:sz w:val="24"/>
          <w:szCs w:val="24"/>
        </w:rPr>
        <w:t>份，采购单位</w:t>
      </w:r>
      <w:r>
        <w:rPr>
          <w:rFonts w:hint="eastAsia" w:hAnsi="宋体" w:cs="宋体"/>
          <w:sz w:val="24"/>
          <w:szCs w:val="24"/>
          <w:lang w:val="en-US" w:eastAsia="zh-CN"/>
        </w:rPr>
        <w:t>四份</w:t>
      </w:r>
      <w:r>
        <w:rPr>
          <w:rFonts w:hint="eastAsia" w:hAnsi="宋体" w:cs="宋体"/>
          <w:sz w:val="24"/>
          <w:szCs w:val="24"/>
        </w:rPr>
        <w:t>、供应商两份。</w:t>
      </w:r>
    </w:p>
    <w:p w14:paraId="16563BBD">
      <w:pPr>
        <w:pStyle w:val="20"/>
        <w:spacing w:line="520" w:lineRule="exact"/>
        <w:ind w:firstLine="480" w:firstLineChars="200"/>
        <w:rPr>
          <w:rFonts w:hAnsi="宋体" w:cs="宋体"/>
          <w:sz w:val="24"/>
          <w:szCs w:val="24"/>
        </w:rPr>
      </w:pPr>
      <w:r>
        <w:rPr>
          <w:rFonts w:hint="eastAsia" w:hAnsi="宋体" w:cs="宋体"/>
          <w:sz w:val="24"/>
          <w:szCs w:val="24"/>
        </w:rPr>
        <w:t>2、本合同文件使用中文书写、解释和说明。</w:t>
      </w:r>
    </w:p>
    <w:p w14:paraId="58DAEBFF">
      <w:pPr>
        <w:pStyle w:val="20"/>
        <w:spacing w:line="520" w:lineRule="exact"/>
        <w:ind w:firstLine="480" w:firstLineChars="200"/>
        <w:rPr>
          <w:rFonts w:hAnsi="宋体" w:cs="宋体"/>
          <w:sz w:val="24"/>
          <w:szCs w:val="24"/>
        </w:rPr>
      </w:pPr>
      <w:r>
        <w:rPr>
          <w:rFonts w:hint="eastAsia" w:hAnsi="宋体" w:cs="宋体"/>
          <w:sz w:val="24"/>
          <w:szCs w:val="24"/>
        </w:rPr>
        <w:t>3、本合同履行过程中产生的纪要、协议以及成交通知书、采购响应文件和采购文件为本合同的附件，与合同具有同等效力。</w:t>
      </w:r>
    </w:p>
    <w:p w14:paraId="0B9A2B41">
      <w:pPr>
        <w:pStyle w:val="20"/>
        <w:spacing w:line="520" w:lineRule="exact"/>
        <w:ind w:firstLine="480" w:firstLineChars="200"/>
        <w:rPr>
          <w:rFonts w:hAnsi="宋体" w:cs="宋体"/>
          <w:sz w:val="24"/>
          <w:szCs w:val="24"/>
        </w:rPr>
      </w:pPr>
      <w:r>
        <w:rPr>
          <w:rFonts w:hint="eastAsia" w:hAnsi="宋体" w:cs="宋体"/>
          <w:sz w:val="24"/>
          <w:szCs w:val="24"/>
        </w:rPr>
        <w:t>4、未尽事宜</w:t>
      </w:r>
    </w:p>
    <w:p w14:paraId="1DD8F4A8">
      <w:pPr>
        <w:pStyle w:val="20"/>
        <w:spacing w:line="520" w:lineRule="exact"/>
        <w:ind w:firstLine="480" w:firstLineChars="200"/>
        <w:rPr>
          <w:rFonts w:hAnsi="宋体" w:cs="宋体"/>
          <w:sz w:val="24"/>
          <w:szCs w:val="24"/>
        </w:rPr>
      </w:pPr>
      <w:r>
        <w:rPr>
          <w:rFonts w:hint="eastAsia" w:hAnsi="宋体" w:cs="宋体"/>
          <w:sz w:val="24"/>
          <w:szCs w:val="24"/>
        </w:rPr>
        <w:t>本合同未尽事宜应按照《中华人民共和国</w:t>
      </w:r>
      <w:r>
        <w:rPr>
          <w:rFonts w:hint="eastAsia" w:hAnsi="宋体" w:cs="宋体"/>
          <w:sz w:val="24"/>
          <w:szCs w:val="24"/>
          <w:lang w:eastAsia="zh-Hans"/>
        </w:rPr>
        <w:t>民法典</w:t>
      </w:r>
      <w:r>
        <w:rPr>
          <w:rFonts w:hint="eastAsia" w:hAnsi="宋体" w:cs="宋体"/>
          <w:sz w:val="24"/>
          <w:szCs w:val="24"/>
        </w:rPr>
        <w:t>》、《中华人民共和国政府采购法》及其相关配套法律法规之规定解释。</w:t>
      </w:r>
    </w:p>
    <w:p w14:paraId="2A5814A5">
      <w:pPr>
        <w:snapToGrid w:val="0"/>
        <w:spacing w:line="480" w:lineRule="exact"/>
        <w:contextualSpacing/>
        <w:outlineLvl w:val="0"/>
        <w:rPr>
          <w:rFonts w:ascii="宋体" w:hAnsi="宋体" w:cs="宋体"/>
          <w:sz w:val="24"/>
        </w:rPr>
      </w:pPr>
    </w:p>
    <w:p w14:paraId="21A73441">
      <w:pPr>
        <w:spacing w:line="480" w:lineRule="exact"/>
        <w:ind w:firstLine="484" w:firstLineChars="202"/>
        <w:rPr>
          <w:rFonts w:ascii="宋体" w:hAnsi="宋体" w:cs="宋体"/>
          <w:kern w:val="0"/>
          <w:sz w:val="24"/>
        </w:rPr>
      </w:pPr>
      <w:r>
        <w:rPr>
          <w:rFonts w:hint="eastAsia" w:ascii="宋体" w:hAnsi="宋体" w:cs="宋体"/>
          <w:kern w:val="0"/>
          <w:sz w:val="24"/>
        </w:rPr>
        <w:t>采购单位（或甲方）：             中标供应商（或乙方）：</w:t>
      </w:r>
    </w:p>
    <w:p w14:paraId="324922D4">
      <w:pPr>
        <w:spacing w:line="480" w:lineRule="exact"/>
        <w:ind w:firstLine="484" w:firstLineChars="202"/>
        <w:rPr>
          <w:rFonts w:ascii="宋体" w:hAnsi="宋体" w:cs="宋体"/>
          <w:kern w:val="0"/>
          <w:sz w:val="24"/>
        </w:rPr>
      </w:pPr>
      <w:r>
        <w:rPr>
          <w:rFonts w:hint="eastAsia" w:ascii="宋体" w:hAnsi="宋体" w:cs="宋体"/>
          <w:kern w:val="0"/>
          <w:sz w:val="24"/>
        </w:rPr>
        <w:t>法定代表人：                     法定代表人：</w:t>
      </w:r>
    </w:p>
    <w:p w14:paraId="0BF614C1">
      <w:pPr>
        <w:adjustRightInd w:val="0"/>
        <w:snapToGrid w:val="0"/>
        <w:spacing w:line="360" w:lineRule="auto"/>
        <w:ind w:firstLine="480" w:firstLineChars="200"/>
        <w:rPr>
          <w:b/>
          <w:sz w:val="36"/>
          <w:szCs w:val="36"/>
        </w:rPr>
      </w:pPr>
      <w:r>
        <w:rPr>
          <w:rFonts w:hint="eastAsia" w:ascii="宋体" w:hAnsi="宋体" w:cs="宋体"/>
          <w:kern w:val="0"/>
          <w:sz w:val="24"/>
        </w:rPr>
        <w:t>委托代理人：                     委托代理人：</w:t>
      </w:r>
      <w:r>
        <w:rPr>
          <w:b/>
          <w:sz w:val="36"/>
          <w:szCs w:val="36"/>
        </w:rPr>
        <w:br w:type="page"/>
      </w:r>
    </w:p>
    <w:p w14:paraId="1383B0E3">
      <w:pPr>
        <w:snapToGrid w:val="0"/>
        <w:spacing w:line="300" w:lineRule="auto"/>
        <w:jc w:val="center"/>
        <w:outlineLvl w:val="0"/>
        <w:rPr>
          <w:b/>
          <w:sz w:val="36"/>
          <w:szCs w:val="36"/>
        </w:rPr>
      </w:pPr>
      <w:r>
        <w:rPr>
          <w:b/>
          <w:sz w:val="36"/>
          <w:szCs w:val="36"/>
        </w:rPr>
        <w:t>第六部分质疑提出和处理</w:t>
      </w:r>
    </w:p>
    <w:p w14:paraId="4F49F206">
      <w:pPr>
        <w:autoSpaceDE w:val="0"/>
        <w:autoSpaceDN w:val="0"/>
        <w:adjustRightInd w:val="0"/>
        <w:snapToGrid w:val="0"/>
        <w:spacing w:line="360" w:lineRule="auto"/>
        <w:ind w:firstLine="482" w:firstLineChars="200"/>
        <w:contextualSpacing/>
        <w:jc w:val="left"/>
        <w:rPr>
          <w:b/>
          <w:kern w:val="0"/>
          <w:sz w:val="24"/>
        </w:rPr>
      </w:pPr>
      <w:r>
        <w:rPr>
          <w:b/>
          <w:kern w:val="0"/>
          <w:sz w:val="24"/>
        </w:rPr>
        <w:t>一、质疑的提出</w:t>
      </w:r>
    </w:p>
    <w:p w14:paraId="20459E2B">
      <w:pPr>
        <w:autoSpaceDE w:val="0"/>
        <w:autoSpaceDN w:val="0"/>
        <w:adjustRightInd w:val="0"/>
        <w:snapToGrid w:val="0"/>
        <w:spacing w:line="360" w:lineRule="auto"/>
        <w:ind w:firstLine="480" w:firstLineChars="200"/>
        <w:contextualSpacing/>
        <w:jc w:val="left"/>
        <w:rPr>
          <w:sz w:val="24"/>
        </w:rPr>
      </w:pPr>
      <w:r>
        <w:rPr>
          <w:sz w:val="24"/>
        </w:rPr>
        <w:t>（一）质疑人的身份要求</w:t>
      </w:r>
    </w:p>
    <w:p w14:paraId="39876EB6">
      <w:pPr>
        <w:autoSpaceDE w:val="0"/>
        <w:autoSpaceDN w:val="0"/>
        <w:adjustRightInd w:val="0"/>
        <w:snapToGrid w:val="0"/>
        <w:spacing w:line="360" w:lineRule="auto"/>
        <w:ind w:firstLine="480" w:firstLineChars="200"/>
        <w:contextualSpacing/>
        <w:jc w:val="left"/>
        <w:rPr>
          <w:sz w:val="24"/>
        </w:rPr>
      </w:pPr>
      <w:r>
        <w:rPr>
          <w:sz w:val="24"/>
        </w:rPr>
        <w:t>1.质疑人必须是直接参加本次采购活动的当事人。</w:t>
      </w:r>
    </w:p>
    <w:p w14:paraId="15137876">
      <w:pPr>
        <w:autoSpaceDE w:val="0"/>
        <w:autoSpaceDN w:val="0"/>
        <w:adjustRightInd w:val="0"/>
        <w:snapToGrid w:val="0"/>
        <w:spacing w:line="360" w:lineRule="auto"/>
        <w:ind w:firstLine="480" w:firstLineChars="200"/>
        <w:contextualSpacing/>
        <w:jc w:val="left"/>
        <w:rPr>
          <w:sz w:val="24"/>
        </w:rPr>
      </w:pPr>
      <w:r>
        <w:rPr>
          <w:sz w:val="24"/>
        </w:rPr>
        <w:t>2.未参加投标活动的供应商或在投标活动中自身权益未受到损害的供应商所提出的质疑不予受理。</w:t>
      </w:r>
    </w:p>
    <w:p w14:paraId="7BFB4AAB">
      <w:pPr>
        <w:autoSpaceDE w:val="0"/>
        <w:autoSpaceDN w:val="0"/>
        <w:adjustRightInd w:val="0"/>
        <w:snapToGrid w:val="0"/>
        <w:spacing w:line="360" w:lineRule="auto"/>
        <w:ind w:firstLine="480" w:firstLineChars="200"/>
        <w:contextualSpacing/>
        <w:jc w:val="left"/>
        <w:rPr>
          <w:sz w:val="24"/>
        </w:rPr>
      </w:pPr>
      <w:r>
        <w:rPr>
          <w:sz w:val="24"/>
        </w:rPr>
        <w:t>（二）质疑提出的格式要求</w:t>
      </w:r>
    </w:p>
    <w:p w14:paraId="5A073806">
      <w:pPr>
        <w:autoSpaceDE w:val="0"/>
        <w:autoSpaceDN w:val="0"/>
        <w:adjustRightInd w:val="0"/>
        <w:snapToGrid w:val="0"/>
        <w:spacing w:line="360" w:lineRule="auto"/>
        <w:ind w:firstLine="480" w:firstLineChars="200"/>
        <w:contextualSpacing/>
        <w:jc w:val="left"/>
        <w:rPr>
          <w:sz w:val="24"/>
        </w:rPr>
      </w:pPr>
      <w:r>
        <w:rPr>
          <w:sz w:val="24"/>
        </w:rPr>
        <w:t>1.质疑必须按《政府采购法》、《政府采购法实施条例》及《江苏省政府采购供应商监督管理暂行办法》的相关规定提交，质疑实行实名制，不得进行虚假、恶意质疑，未按上述要求提交的质疑函，将不予受理。</w:t>
      </w:r>
    </w:p>
    <w:p w14:paraId="068B5F78">
      <w:pPr>
        <w:autoSpaceDE w:val="0"/>
        <w:autoSpaceDN w:val="0"/>
        <w:adjustRightInd w:val="0"/>
        <w:snapToGrid w:val="0"/>
        <w:spacing w:line="360" w:lineRule="auto"/>
        <w:ind w:firstLine="480" w:firstLineChars="200"/>
        <w:contextualSpacing/>
        <w:jc w:val="left"/>
        <w:rPr>
          <w:sz w:val="24"/>
        </w:rPr>
      </w:pPr>
      <w:r>
        <w:rPr>
          <w:sz w:val="24"/>
        </w:rPr>
        <w:t>2.质疑函应包括：</w:t>
      </w:r>
    </w:p>
    <w:p w14:paraId="1B45915B">
      <w:pPr>
        <w:autoSpaceDE w:val="0"/>
        <w:autoSpaceDN w:val="0"/>
        <w:adjustRightInd w:val="0"/>
        <w:snapToGrid w:val="0"/>
        <w:spacing w:line="360" w:lineRule="auto"/>
        <w:ind w:firstLine="480" w:firstLineChars="200"/>
        <w:contextualSpacing/>
        <w:jc w:val="left"/>
        <w:rPr>
          <w:sz w:val="24"/>
        </w:rPr>
      </w:pPr>
      <w:r>
        <w:rPr>
          <w:sz w:val="24"/>
        </w:rPr>
        <w:t>（1）质疑投标供应商的名称、地址、邮编、联系人及联系电话；</w:t>
      </w:r>
    </w:p>
    <w:p w14:paraId="2808A143">
      <w:pPr>
        <w:autoSpaceDE w:val="0"/>
        <w:autoSpaceDN w:val="0"/>
        <w:adjustRightInd w:val="0"/>
        <w:snapToGrid w:val="0"/>
        <w:spacing w:line="360" w:lineRule="auto"/>
        <w:ind w:firstLine="480" w:firstLineChars="200"/>
        <w:contextualSpacing/>
        <w:jc w:val="left"/>
        <w:rPr>
          <w:sz w:val="24"/>
        </w:rPr>
      </w:pPr>
      <w:r>
        <w:rPr>
          <w:sz w:val="24"/>
        </w:rPr>
        <w:t>（2）具体、明确的质疑事项及明确的请求；</w:t>
      </w:r>
    </w:p>
    <w:p w14:paraId="2921F764">
      <w:pPr>
        <w:autoSpaceDE w:val="0"/>
        <w:autoSpaceDN w:val="0"/>
        <w:adjustRightInd w:val="0"/>
        <w:snapToGrid w:val="0"/>
        <w:spacing w:line="360" w:lineRule="auto"/>
        <w:ind w:firstLine="480" w:firstLineChars="200"/>
        <w:contextualSpacing/>
        <w:jc w:val="left"/>
        <w:rPr>
          <w:sz w:val="24"/>
        </w:rPr>
      </w:pPr>
      <w:r>
        <w:rPr>
          <w:sz w:val="24"/>
        </w:rPr>
        <w:t>（3）质疑的事实依据和必要的法律依据；</w:t>
      </w:r>
    </w:p>
    <w:p w14:paraId="623FC597">
      <w:pPr>
        <w:autoSpaceDE w:val="0"/>
        <w:autoSpaceDN w:val="0"/>
        <w:adjustRightInd w:val="0"/>
        <w:snapToGrid w:val="0"/>
        <w:spacing w:line="360" w:lineRule="auto"/>
        <w:ind w:firstLine="480" w:firstLineChars="200"/>
        <w:contextualSpacing/>
        <w:jc w:val="left"/>
        <w:rPr>
          <w:sz w:val="24"/>
        </w:rPr>
      </w:pPr>
      <w:r>
        <w:rPr>
          <w:sz w:val="24"/>
        </w:rPr>
        <w:t>（4）提起质疑的日期；</w:t>
      </w:r>
    </w:p>
    <w:p w14:paraId="018F73F2">
      <w:pPr>
        <w:autoSpaceDE w:val="0"/>
        <w:autoSpaceDN w:val="0"/>
        <w:adjustRightInd w:val="0"/>
        <w:snapToGrid w:val="0"/>
        <w:spacing w:line="360" w:lineRule="auto"/>
        <w:ind w:firstLine="480" w:firstLineChars="200"/>
        <w:contextualSpacing/>
        <w:jc w:val="left"/>
        <w:rPr>
          <w:sz w:val="24"/>
        </w:rPr>
      </w:pPr>
      <w:r>
        <w:rPr>
          <w:sz w:val="24"/>
        </w:rPr>
        <w:t>（5）认为自己合法权益受到损害或可能受到损害的相关证据材料；</w:t>
      </w:r>
    </w:p>
    <w:p w14:paraId="52ADA61C">
      <w:pPr>
        <w:autoSpaceDE w:val="0"/>
        <w:autoSpaceDN w:val="0"/>
        <w:adjustRightInd w:val="0"/>
        <w:snapToGrid w:val="0"/>
        <w:spacing w:line="360" w:lineRule="auto"/>
        <w:ind w:firstLine="480" w:firstLineChars="200"/>
        <w:contextualSpacing/>
        <w:jc w:val="left"/>
        <w:rPr>
          <w:sz w:val="24"/>
        </w:rPr>
      </w:pPr>
      <w:r>
        <w:rPr>
          <w:sz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03D2044E">
      <w:pPr>
        <w:autoSpaceDE w:val="0"/>
        <w:autoSpaceDN w:val="0"/>
        <w:adjustRightInd w:val="0"/>
        <w:snapToGrid w:val="0"/>
        <w:spacing w:line="360" w:lineRule="auto"/>
        <w:ind w:firstLine="480" w:firstLineChars="200"/>
        <w:contextualSpacing/>
        <w:jc w:val="left"/>
        <w:rPr>
          <w:sz w:val="24"/>
        </w:rPr>
      </w:pPr>
      <w:r>
        <w:rPr>
          <w:sz w:val="24"/>
        </w:rPr>
        <w:t>3.质疑函需遵循的原则：</w:t>
      </w:r>
    </w:p>
    <w:p w14:paraId="02FFE165">
      <w:pPr>
        <w:autoSpaceDE w:val="0"/>
        <w:autoSpaceDN w:val="0"/>
        <w:adjustRightInd w:val="0"/>
        <w:snapToGrid w:val="0"/>
        <w:spacing w:line="360" w:lineRule="auto"/>
        <w:ind w:firstLine="480" w:firstLineChars="200"/>
        <w:contextualSpacing/>
        <w:jc w:val="left"/>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568EA9F0">
      <w:pPr>
        <w:autoSpaceDE w:val="0"/>
        <w:autoSpaceDN w:val="0"/>
        <w:adjustRightInd w:val="0"/>
        <w:snapToGrid w:val="0"/>
        <w:spacing w:line="360" w:lineRule="auto"/>
        <w:ind w:firstLine="480" w:firstLineChars="200"/>
        <w:contextualSpacing/>
        <w:jc w:val="left"/>
        <w:rPr>
          <w:sz w:val="24"/>
        </w:rPr>
      </w:pPr>
      <w:r>
        <w:rPr>
          <w:sz w:val="24"/>
        </w:rPr>
        <w:t>（三）质疑提出的时效要求</w:t>
      </w:r>
    </w:p>
    <w:p w14:paraId="25438787">
      <w:pPr>
        <w:autoSpaceDE w:val="0"/>
        <w:autoSpaceDN w:val="0"/>
        <w:adjustRightInd w:val="0"/>
        <w:snapToGrid w:val="0"/>
        <w:spacing w:line="360" w:lineRule="auto"/>
        <w:ind w:firstLine="480" w:firstLineChars="200"/>
        <w:contextualSpacing/>
        <w:jc w:val="left"/>
        <w:rPr>
          <w:sz w:val="24"/>
        </w:rPr>
      </w:pPr>
      <w:r>
        <w:rPr>
          <w:sz w:val="24"/>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08F60D1">
      <w:pPr>
        <w:autoSpaceDE w:val="0"/>
        <w:autoSpaceDN w:val="0"/>
        <w:adjustRightInd w:val="0"/>
        <w:snapToGrid w:val="0"/>
        <w:spacing w:line="360" w:lineRule="auto"/>
        <w:ind w:firstLine="480" w:firstLineChars="200"/>
        <w:contextualSpacing/>
        <w:jc w:val="left"/>
        <w:rPr>
          <w:sz w:val="24"/>
        </w:rPr>
      </w:pPr>
      <w:r>
        <w:rPr>
          <w:sz w:val="24"/>
        </w:rPr>
        <w:t>（1）对可以质疑的采购文件提出质疑的，为收到采购文件之日或者采购文件公告期限届满之日；</w:t>
      </w:r>
    </w:p>
    <w:p w14:paraId="63BF7345">
      <w:pPr>
        <w:autoSpaceDE w:val="0"/>
        <w:autoSpaceDN w:val="0"/>
        <w:adjustRightInd w:val="0"/>
        <w:snapToGrid w:val="0"/>
        <w:spacing w:line="360" w:lineRule="auto"/>
        <w:ind w:firstLine="480" w:firstLineChars="200"/>
        <w:contextualSpacing/>
        <w:jc w:val="left"/>
        <w:rPr>
          <w:sz w:val="24"/>
        </w:rPr>
      </w:pPr>
      <w:r>
        <w:rPr>
          <w:sz w:val="24"/>
        </w:rPr>
        <w:t>（2）对采购过程提出质疑的，为各采购程序环节结束之日；</w:t>
      </w:r>
    </w:p>
    <w:p w14:paraId="57B6F60B">
      <w:pPr>
        <w:autoSpaceDE w:val="0"/>
        <w:autoSpaceDN w:val="0"/>
        <w:adjustRightInd w:val="0"/>
        <w:snapToGrid w:val="0"/>
        <w:spacing w:line="360" w:lineRule="auto"/>
        <w:ind w:firstLine="480" w:firstLineChars="200"/>
        <w:contextualSpacing/>
        <w:jc w:val="left"/>
        <w:rPr>
          <w:sz w:val="24"/>
        </w:rPr>
      </w:pPr>
      <w:r>
        <w:rPr>
          <w:sz w:val="24"/>
        </w:rPr>
        <w:t>（3）对中标或者成交结果提出质疑的，为中标或者成交结果公告期限届满之日。</w:t>
      </w:r>
    </w:p>
    <w:p w14:paraId="2CEC3D6B">
      <w:pPr>
        <w:autoSpaceDE w:val="0"/>
        <w:autoSpaceDN w:val="0"/>
        <w:adjustRightInd w:val="0"/>
        <w:snapToGrid w:val="0"/>
        <w:spacing w:line="360" w:lineRule="auto"/>
        <w:ind w:firstLine="480" w:firstLineChars="200"/>
        <w:contextualSpacing/>
        <w:jc w:val="left"/>
        <w:rPr>
          <w:sz w:val="24"/>
        </w:rPr>
      </w:pPr>
      <w:r>
        <w:rPr>
          <w:sz w:val="24"/>
        </w:rPr>
        <w:t>投标供应商认为采购文件使自己的权益受到损害的，可以向采购人提出质疑；投标供应商认为采购过程和采购结果使自己的权益受到损害的，可以以书面形式向采购人或代理机构提出质疑。</w:t>
      </w:r>
    </w:p>
    <w:p w14:paraId="2B1832C5">
      <w:pPr>
        <w:autoSpaceDE w:val="0"/>
        <w:autoSpaceDN w:val="0"/>
        <w:adjustRightInd w:val="0"/>
        <w:snapToGrid w:val="0"/>
        <w:spacing w:line="360" w:lineRule="auto"/>
        <w:ind w:firstLine="480" w:firstLineChars="200"/>
        <w:contextualSpacing/>
        <w:jc w:val="left"/>
        <w:rPr>
          <w:sz w:val="24"/>
        </w:rPr>
      </w:pPr>
      <w:r>
        <w:rPr>
          <w:sz w:val="24"/>
        </w:rPr>
        <w:t>2.投标供应商应在法定质疑期一次性提出针对同一采购程序环节的质疑。</w:t>
      </w:r>
    </w:p>
    <w:p w14:paraId="363B2EED">
      <w:pPr>
        <w:autoSpaceDE w:val="0"/>
        <w:autoSpaceDN w:val="0"/>
        <w:adjustRightInd w:val="0"/>
        <w:snapToGrid w:val="0"/>
        <w:spacing w:line="360" w:lineRule="auto"/>
        <w:ind w:firstLine="482" w:firstLineChars="200"/>
        <w:contextualSpacing/>
        <w:jc w:val="left"/>
        <w:rPr>
          <w:b/>
          <w:sz w:val="24"/>
        </w:rPr>
      </w:pPr>
      <w:r>
        <w:rPr>
          <w:b/>
          <w:sz w:val="24"/>
        </w:rPr>
        <w:t>二、《质疑函》的受理和回复</w:t>
      </w:r>
    </w:p>
    <w:p w14:paraId="70522FA3">
      <w:pPr>
        <w:autoSpaceDE w:val="0"/>
        <w:autoSpaceDN w:val="0"/>
        <w:adjustRightInd w:val="0"/>
        <w:snapToGrid w:val="0"/>
        <w:spacing w:line="360" w:lineRule="auto"/>
        <w:ind w:firstLine="480" w:firstLineChars="200"/>
        <w:contextualSpacing/>
        <w:jc w:val="left"/>
        <w:rPr>
          <w:sz w:val="24"/>
        </w:rPr>
      </w:pPr>
      <w:r>
        <w:rPr>
          <w:sz w:val="24"/>
        </w:rPr>
        <w:t>1.收到质疑函后，采购人将对质疑的形式和内容进行审查，如质疑函内容、格式不符合规定，采购人将告知质疑人进行补正。</w:t>
      </w:r>
    </w:p>
    <w:p w14:paraId="1885E5B7">
      <w:pPr>
        <w:autoSpaceDE w:val="0"/>
        <w:autoSpaceDN w:val="0"/>
        <w:adjustRightInd w:val="0"/>
        <w:snapToGrid w:val="0"/>
        <w:spacing w:line="360" w:lineRule="auto"/>
        <w:ind w:firstLine="480" w:firstLineChars="200"/>
        <w:contextualSpacing/>
        <w:jc w:val="left"/>
        <w:rPr>
          <w:sz w:val="24"/>
        </w:rPr>
      </w:pPr>
      <w:r>
        <w:rPr>
          <w:sz w:val="24"/>
        </w:rPr>
        <w:t>2.质疑人应当在法定质疑期限内进行补正并重新提交质疑函，拒不补正或者在法定期限内未重新提交质疑函的，为无效质疑，采购人将不予受理。</w:t>
      </w:r>
    </w:p>
    <w:p w14:paraId="21CD8308">
      <w:pPr>
        <w:autoSpaceDE w:val="0"/>
        <w:autoSpaceDN w:val="0"/>
        <w:adjustRightInd w:val="0"/>
        <w:snapToGrid w:val="0"/>
        <w:spacing w:line="360" w:lineRule="auto"/>
        <w:ind w:firstLine="480" w:firstLineChars="200"/>
        <w:contextualSpacing/>
        <w:jc w:val="left"/>
        <w:rPr>
          <w:sz w:val="24"/>
        </w:rPr>
      </w:pPr>
      <w:r>
        <w:rPr>
          <w:sz w:val="24"/>
        </w:rPr>
        <w:t>3.采购人或采购代理机构答复供应商质疑应当采用书面方式并依法送达，质疑供应商或其委托代理人拒绝签收的视为已经送达。</w:t>
      </w:r>
    </w:p>
    <w:p w14:paraId="184851DC">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三、质疑处理</w:t>
      </w:r>
    </w:p>
    <w:p w14:paraId="405009A1">
      <w:pPr>
        <w:autoSpaceDE w:val="0"/>
        <w:autoSpaceDN w:val="0"/>
        <w:adjustRightInd w:val="0"/>
        <w:snapToGrid w:val="0"/>
        <w:spacing w:line="360" w:lineRule="auto"/>
        <w:ind w:firstLine="482" w:firstLineChars="200"/>
        <w:contextualSpacing/>
        <w:jc w:val="left"/>
        <w:rPr>
          <w:b/>
          <w:sz w:val="24"/>
        </w:rPr>
      </w:pPr>
      <w:r>
        <w:rPr>
          <w:b/>
          <w:sz w:val="24"/>
        </w:rPr>
        <w:t>1、质疑成立的处理。</w:t>
      </w:r>
    </w:p>
    <w:p w14:paraId="72C93225">
      <w:pPr>
        <w:autoSpaceDE w:val="0"/>
        <w:autoSpaceDN w:val="0"/>
        <w:adjustRightInd w:val="0"/>
        <w:snapToGrid w:val="0"/>
        <w:spacing w:line="360" w:lineRule="auto"/>
        <w:ind w:firstLine="480" w:firstLineChars="200"/>
        <w:contextualSpacing/>
        <w:jc w:val="left"/>
        <w:rPr>
          <w:sz w:val="24"/>
        </w:rPr>
      </w:pPr>
      <w:r>
        <w:rPr>
          <w:sz w:val="24"/>
        </w:rPr>
        <w:t>（1）对于内容、格式符合规定的质疑函，采购人在收到投标供应商的书面质疑后七个工作日内作出书面答复，但答复的内容不得涉及商业秘密。</w:t>
      </w:r>
    </w:p>
    <w:p w14:paraId="4A34F1B1">
      <w:pPr>
        <w:autoSpaceDE w:val="0"/>
        <w:autoSpaceDN w:val="0"/>
        <w:adjustRightInd w:val="0"/>
        <w:snapToGrid w:val="0"/>
        <w:spacing w:line="360" w:lineRule="auto"/>
        <w:ind w:firstLine="480" w:firstLineChars="200"/>
        <w:contextualSpacing/>
        <w:jc w:val="left"/>
        <w:rPr>
          <w:sz w:val="24"/>
        </w:rPr>
      </w:pPr>
      <w:r>
        <w:rPr>
          <w:sz w:val="24"/>
        </w:rPr>
        <w:t>（2）对采购文件提出的质疑，依法通过澄清或者修改可以继续开展采购活动的，澄清或者修改采购文件后继续开展采购活动；否则应当修改采购文件后重新开展采购活动。</w:t>
      </w:r>
    </w:p>
    <w:p w14:paraId="7F9ED26D">
      <w:pPr>
        <w:autoSpaceDE w:val="0"/>
        <w:autoSpaceDN w:val="0"/>
        <w:adjustRightInd w:val="0"/>
        <w:snapToGrid w:val="0"/>
        <w:spacing w:line="360" w:lineRule="auto"/>
        <w:ind w:firstLine="480" w:firstLineChars="200"/>
        <w:contextualSpacing/>
        <w:jc w:val="left"/>
        <w:rPr>
          <w:sz w:val="24"/>
        </w:rPr>
      </w:pPr>
      <w:r>
        <w:rPr>
          <w:sz w:val="24"/>
        </w:rPr>
        <w:t>（3）对采购过程、中标或者成交结果提出的质疑，合格供应商符合法定数量时，可以从合格的中标候选人中另行确定中标、成交供应商，或重新开展采购活动。</w:t>
      </w:r>
    </w:p>
    <w:p w14:paraId="4FA76373">
      <w:pPr>
        <w:autoSpaceDE w:val="0"/>
        <w:autoSpaceDN w:val="0"/>
        <w:adjustRightInd w:val="0"/>
        <w:snapToGrid w:val="0"/>
        <w:spacing w:line="360" w:lineRule="auto"/>
        <w:ind w:firstLine="480" w:firstLineChars="200"/>
        <w:contextualSpacing/>
        <w:jc w:val="left"/>
        <w:rPr>
          <w:sz w:val="24"/>
        </w:rPr>
      </w:pPr>
      <w:r>
        <w:rPr>
          <w:sz w:val="24"/>
        </w:rPr>
        <w:t>质疑答复导致中标、成交结果改变的，采购人或者采购代理机构应当将有关情况书面报告本级财政部门。</w:t>
      </w:r>
    </w:p>
    <w:p w14:paraId="7465BAAE">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2、质疑不成立的处理。</w:t>
      </w:r>
    </w:p>
    <w:p w14:paraId="31F2EEA4">
      <w:pPr>
        <w:snapToGrid w:val="0"/>
        <w:spacing w:line="360" w:lineRule="auto"/>
        <w:ind w:firstLine="480" w:firstLineChars="200"/>
        <w:contextualSpacing/>
        <w:jc w:val="left"/>
        <w:rPr>
          <w:sz w:val="24"/>
        </w:rPr>
      </w:pPr>
      <w:r>
        <w:rPr>
          <w:kern w:val="0"/>
          <w:sz w:val="24"/>
          <w:lang w:val="zh-CN"/>
        </w:rPr>
        <w:t>（1）</w:t>
      </w:r>
      <w:r>
        <w:rPr>
          <w:sz w:val="24"/>
        </w:rPr>
        <w:t>若质疑不成立，或者成立未对中标、成交结果构成影响的，继续开展采购活动。</w:t>
      </w:r>
    </w:p>
    <w:p w14:paraId="57F49908">
      <w:pPr>
        <w:snapToGrid w:val="0"/>
        <w:spacing w:line="360" w:lineRule="auto"/>
        <w:ind w:firstLine="460" w:firstLineChars="192"/>
        <w:contextualSpacing/>
        <w:jc w:val="left"/>
        <w:rPr>
          <w:kern w:val="0"/>
          <w:sz w:val="24"/>
          <w:lang w:val="zh-CN"/>
        </w:rPr>
      </w:pPr>
      <w:r>
        <w:rPr>
          <w:kern w:val="0"/>
          <w:sz w:val="24"/>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14:paraId="5A9F96B9">
      <w:pPr>
        <w:snapToGrid w:val="0"/>
        <w:spacing w:line="360" w:lineRule="auto"/>
        <w:ind w:firstLine="460" w:firstLineChars="192"/>
        <w:contextualSpacing/>
        <w:jc w:val="left"/>
        <w:rPr>
          <w:kern w:val="0"/>
          <w:sz w:val="24"/>
          <w:lang w:val="zh-CN"/>
        </w:rPr>
      </w:pPr>
      <w:r>
        <w:rPr>
          <w:kern w:val="0"/>
          <w:sz w:val="24"/>
          <w:lang w:val="zh-CN"/>
        </w:rPr>
        <w:t>（3）质疑人承担使用虚假材料或恶意方式质疑的法律责任。</w:t>
      </w:r>
    </w:p>
    <w:p w14:paraId="5ECEED40">
      <w:pPr>
        <w:autoSpaceDE w:val="0"/>
        <w:autoSpaceDN w:val="0"/>
        <w:adjustRightInd w:val="0"/>
        <w:snapToGrid w:val="0"/>
        <w:spacing w:line="360" w:lineRule="auto"/>
        <w:ind w:firstLine="482" w:firstLineChars="200"/>
        <w:contextualSpacing/>
        <w:jc w:val="left"/>
        <w:rPr>
          <w:b/>
          <w:kern w:val="0"/>
          <w:sz w:val="24"/>
          <w:lang w:val="zh-CN"/>
        </w:rPr>
      </w:pPr>
      <w:r>
        <w:rPr>
          <w:b/>
          <w:kern w:val="0"/>
          <w:sz w:val="24"/>
          <w:lang w:val="zh-CN"/>
        </w:rPr>
        <w:t>3、虚假质疑的处理</w:t>
      </w:r>
    </w:p>
    <w:p w14:paraId="024C6A8B">
      <w:pPr>
        <w:snapToGrid w:val="0"/>
        <w:spacing w:line="360" w:lineRule="auto"/>
        <w:ind w:firstLine="460" w:firstLineChars="192"/>
        <w:contextualSpacing/>
        <w:jc w:val="left"/>
        <w:rPr>
          <w:kern w:val="0"/>
          <w:sz w:val="24"/>
          <w:lang w:val="zh-CN"/>
        </w:rPr>
      </w:pPr>
      <w:r>
        <w:rPr>
          <w:kern w:val="0"/>
          <w:sz w:val="24"/>
          <w:lang w:val="zh-CN"/>
        </w:rPr>
        <w:t>投标供应商提出书面质疑必须有理、有据，不得恶意质疑或提交虚假质疑。否则，一经查实，将依据政府采购的有关规定，报请政府采购监管部门对该投标供应商进行相应的行政处罚。</w:t>
      </w:r>
    </w:p>
    <w:p w14:paraId="326942C0">
      <w:pPr>
        <w:snapToGrid w:val="0"/>
        <w:jc w:val="center"/>
        <w:outlineLvl w:val="0"/>
        <w:rPr>
          <w:b/>
          <w:sz w:val="36"/>
          <w:szCs w:val="36"/>
        </w:rPr>
      </w:pPr>
      <w:r>
        <w:rPr>
          <w:b/>
          <w:sz w:val="36"/>
          <w:szCs w:val="36"/>
        </w:rPr>
        <w:br w:type="page"/>
      </w:r>
      <w:r>
        <w:rPr>
          <w:b/>
          <w:sz w:val="36"/>
          <w:szCs w:val="36"/>
        </w:rPr>
        <w:t>第七部分</w:t>
      </w:r>
      <w:r>
        <w:rPr>
          <w:rFonts w:hint="eastAsia"/>
          <w:b/>
          <w:sz w:val="36"/>
          <w:szCs w:val="36"/>
        </w:rPr>
        <w:t xml:space="preserve">  </w:t>
      </w:r>
      <w:r>
        <w:rPr>
          <w:b/>
          <w:sz w:val="36"/>
          <w:szCs w:val="36"/>
        </w:rPr>
        <w:t>响应文件组成</w:t>
      </w:r>
    </w:p>
    <w:p w14:paraId="1FFC9BAB">
      <w:pPr>
        <w:pStyle w:val="132"/>
        <w:snapToGrid w:val="0"/>
        <w:spacing w:line="360" w:lineRule="auto"/>
        <w:ind w:firstLine="482" w:firstLineChars="200"/>
        <w:contextualSpacing/>
        <w:rPr>
          <w:rFonts w:ascii="Times New Roman" w:hAnsi="Times New Roman" w:cs="Times New Roman"/>
          <w:b/>
        </w:rPr>
      </w:pPr>
      <w:r>
        <w:rPr>
          <w:rFonts w:ascii="Times New Roman" w:hAnsi="Times New Roman" w:cs="Times New Roman"/>
          <w:b/>
        </w:rPr>
        <w:t>响应文件由资格审查资料、价格响应文件、技术商务响应文件三部分组成。</w:t>
      </w:r>
      <w:r>
        <w:rPr>
          <w:rFonts w:ascii="Times New Roman" w:hAnsi="Times New Roman" w:cs="Times New Roman"/>
        </w:rPr>
        <w:t>供应商提供的响应文件材料须字迹清晰。</w:t>
      </w:r>
      <w:r>
        <w:rPr>
          <w:rFonts w:ascii="Times New Roman" w:hAnsi="Times New Roman" w:cs="Times New Roman"/>
          <w:b/>
        </w:rPr>
        <w:t>如响应文件字迹模糊、无法辨认的须提供原件备查，否则由此造成的废标或不得分等后果由供应商自行承担</w:t>
      </w:r>
      <w:r>
        <w:rPr>
          <w:rFonts w:ascii="Times New Roman" w:hAnsi="Times New Roman" w:cs="Times New Roman"/>
        </w:rPr>
        <w:t>。</w:t>
      </w:r>
    </w:p>
    <w:p w14:paraId="29475CD8">
      <w:pPr>
        <w:pStyle w:val="132"/>
        <w:snapToGrid w:val="0"/>
        <w:spacing w:line="360" w:lineRule="auto"/>
        <w:ind w:firstLine="482" w:firstLineChars="200"/>
        <w:contextualSpacing/>
        <w:rPr>
          <w:rFonts w:ascii="Times New Roman" w:hAnsi="Times New Roman" w:cs="Times New Roman"/>
          <w:b/>
        </w:rPr>
      </w:pPr>
      <w:r>
        <w:rPr>
          <w:rFonts w:ascii="Times New Roman" w:hAnsi="Times New Roman" w:cs="Times New Roman"/>
          <w:b/>
        </w:rPr>
        <w:t>一、资格审查资料（正本一份、副本二份，单独密封）：</w:t>
      </w:r>
    </w:p>
    <w:p w14:paraId="35ADBCE2">
      <w:pPr>
        <w:pStyle w:val="132"/>
        <w:snapToGrid w:val="0"/>
        <w:spacing w:line="360" w:lineRule="auto"/>
        <w:ind w:firstLine="480" w:firstLineChars="200"/>
        <w:contextualSpacing/>
        <w:rPr>
          <w:rFonts w:ascii="Times New Roman" w:hAnsi="Times New Roman" w:cs="Times New Roman"/>
        </w:rPr>
      </w:pPr>
      <w:r>
        <w:rPr>
          <w:rFonts w:ascii="Times New Roman" w:hAnsi="Times New Roman" w:cs="Times New Roman"/>
        </w:rPr>
        <w:t>1、关于资格的声明函；</w:t>
      </w:r>
    </w:p>
    <w:p w14:paraId="1EB5062F">
      <w:pPr>
        <w:pStyle w:val="132"/>
        <w:snapToGrid w:val="0"/>
        <w:spacing w:line="360" w:lineRule="auto"/>
        <w:ind w:firstLine="480" w:firstLineChars="200"/>
        <w:contextualSpacing/>
        <w:rPr>
          <w:rFonts w:ascii="Times New Roman" w:hAnsi="Times New Roman" w:cs="Times New Roman"/>
        </w:rPr>
      </w:pPr>
      <w:r>
        <w:rPr>
          <w:rFonts w:ascii="Times New Roman" w:hAnsi="Times New Roman" w:cs="Times New Roman"/>
        </w:rPr>
        <w:t>2、法定代表人身份证明书及本人身份证复印件，或法定代表人授权委托书原件、身份证复印件（原件随身备查）；</w:t>
      </w:r>
    </w:p>
    <w:p w14:paraId="4B0B0400">
      <w:pPr>
        <w:pStyle w:val="132"/>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、提供磋商公告第二条资格要求中的相应的佐证材料（提供复印件并加盖公章）：</w:t>
      </w:r>
    </w:p>
    <w:p w14:paraId="7E54E7DB">
      <w:pPr>
        <w:pStyle w:val="132"/>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.1</w:t>
      </w:r>
      <w:r>
        <w:rPr>
          <w:rFonts w:hint="eastAsia" w:ascii="Times New Roman" w:hAnsi="Times New Roman" w:cs="Times New Roman"/>
          <w:kern w:val="2"/>
        </w:rPr>
        <w:t>提供有效的营业执照及税务登记证（或者是三证合一的营业执照）</w:t>
      </w:r>
      <w:r>
        <w:t>（复印件并加盖公章）</w:t>
      </w:r>
      <w:r>
        <w:rPr>
          <w:rFonts w:ascii="Times New Roman" w:hAnsi="Times New Roman" w:cs="Times New Roman"/>
        </w:rPr>
        <w:t>；</w:t>
      </w:r>
    </w:p>
    <w:p w14:paraId="45C4DC57">
      <w:pPr>
        <w:pStyle w:val="132"/>
        <w:snapToGrid w:val="0"/>
        <w:spacing w:line="360" w:lineRule="auto"/>
        <w:ind w:firstLine="480" w:firstLineChars="200"/>
        <w:contextualSpacing/>
        <w:rPr>
          <w:rFonts w:ascii="Times New Roman" w:hAnsi="Times New Roman" w:cs="Times New Roman"/>
        </w:rPr>
      </w:pPr>
      <w:r>
        <w:rPr>
          <w:rFonts w:hint="eastAsia"/>
        </w:rPr>
        <w:t>3.2具备履行合同所必需设备和专业技术能力</w:t>
      </w:r>
      <w:r>
        <w:t>（提供复印件并加盖公章）</w:t>
      </w:r>
      <w:r>
        <w:rPr>
          <w:rFonts w:hint="eastAsia"/>
        </w:rPr>
        <w:t>；</w:t>
      </w:r>
    </w:p>
    <w:p w14:paraId="644B94E6">
      <w:pPr>
        <w:pStyle w:val="132"/>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供应商202</w:t>
      </w:r>
      <w:r>
        <w:rPr>
          <w:rFonts w:hint="eastAsia" w:ascii="Times New Roman" w:hAnsi="Times New Roman" w:cs="Times New Roman"/>
        </w:rPr>
        <w:t>2</w:t>
      </w:r>
      <w:r>
        <w:rPr>
          <w:rFonts w:ascii="Times New Roman" w:hAnsi="Times New Roman" w:cs="Times New Roman"/>
        </w:rPr>
        <w:t>或202</w:t>
      </w:r>
      <w:r>
        <w:rPr>
          <w:rFonts w:hint="eastAsia" w:ascii="Times New Roman" w:hAnsi="Times New Roman" w:cs="Times New Roman"/>
        </w:rPr>
        <w:t>3</w:t>
      </w:r>
      <w:r>
        <w:rPr>
          <w:rFonts w:ascii="Times New Roman" w:hAnsi="Times New Roman" w:cs="Times New Roman"/>
        </w:rPr>
        <w:t>年度财务状况报告（新成立企业可不提供）；</w:t>
      </w:r>
    </w:p>
    <w:p w14:paraId="771B6F12">
      <w:pPr>
        <w:pStyle w:val="132"/>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企业</w:t>
      </w:r>
      <w:r>
        <w:rPr>
          <w:rFonts w:ascii="Times New Roman" w:hAnsi="Times New Roman" w:cs="Times New Roman"/>
          <w:b/>
        </w:rPr>
        <w:t>近</w:t>
      </w:r>
      <w:r>
        <w:rPr>
          <w:rFonts w:hint="eastAsia" w:ascii="Times New Roman" w:hAnsi="Times New Roman" w:cs="Times New Roman"/>
          <w:b/>
        </w:rPr>
        <w:t>一</w:t>
      </w:r>
      <w:r>
        <w:rPr>
          <w:rFonts w:ascii="Times New Roman" w:hAnsi="Times New Roman" w:cs="Times New Roman"/>
          <w:b/>
        </w:rPr>
        <w:t>年内</w:t>
      </w:r>
      <w:r>
        <w:rPr>
          <w:rFonts w:ascii="Times New Roman" w:hAnsi="Times New Roman" w:cs="Times New Roman"/>
        </w:rPr>
        <w:t>任意一个月依法缴纳税收和社会保障资金的记录（依法享受缓缴、免缴税收、社会保障资金的提供证明材料）；</w:t>
      </w:r>
    </w:p>
    <w:p w14:paraId="3FEECAA8">
      <w:pPr>
        <w:pStyle w:val="132"/>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、参与本次项目政府采购活动前三年内，在经营活动中没有重大违法记录的书面</w:t>
      </w:r>
      <w:r>
        <w:rPr>
          <w:rFonts w:hint="eastAsia"/>
        </w:rPr>
        <w:t>声明</w:t>
      </w:r>
      <w:r>
        <w:rPr>
          <w:rFonts w:ascii="Times New Roman" w:hAnsi="Times New Roman" w:cs="Times New Roman"/>
        </w:rPr>
        <w:t>；</w:t>
      </w:r>
    </w:p>
    <w:p w14:paraId="71989B6E">
      <w:pPr>
        <w:pStyle w:val="132"/>
        <w:snapToGrid w:val="0"/>
        <w:spacing w:line="360" w:lineRule="auto"/>
        <w:ind w:firstLine="480" w:firstLineChars="200"/>
        <w:contextualSpacing/>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其它需要提交的资格审查证明材料。</w:t>
      </w:r>
    </w:p>
    <w:p w14:paraId="2C4D8BE9">
      <w:pPr>
        <w:pStyle w:val="132"/>
        <w:snapToGrid w:val="0"/>
        <w:spacing w:line="360" w:lineRule="auto"/>
        <w:ind w:firstLine="482" w:firstLineChars="200"/>
        <w:contextualSpacing/>
        <w:rPr>
          <w:rFonts w:ascii="Times New Roman" w:hAnsi="Times New Roman"/>
          <w:b/>
          <w:bCs/>
          <w:lang w:val="zh-CN"/>
        </w:rPr>
      </w:pPr>
      <w:r>
        <w:rPr>
          <w:rFonts w:ascii="Times New Roman" w:hAnsi="Times New Roman"/>
          <w:b/>
        </w:rPr>
        <w:t>二、商务技术文件</w:t>
      </w:r>
      <w:r>
        <w:rPr>
          <w:rFonts w:ascii="Times New Roman" w:hAnsi="Times New Roman"/>
          <w:b/>
          <w:bCs/>
          <w:lang w:val="zh-CN"/>
        </w:rPr>
        <w:t>（不能出现报价）</w:t>
      </w:r>
    </w:p>
    <w:p w14:paraId="59D98BB2">
      <w:pPr>
        <w:pStyle w:val="132"/>
        <w:snapToGrid w:val="0"/>
        <w:spacing w:line="360" w:lineRule="auto"/>
        <w:ind w:firstLine="480" w:firstLineChars="200"/>
        <w:contextualSpacing/>
        <w:rPr>
          <w:lang w:val="zh-CN"/>
        </w:rPr>
      </w:pPr>
      <w:r>
        <w:rPr>
          <w:rFonts w:ascii="Times New Roman" w:hAnsi="Times New Roman"/>
        </w:rPr>
        <w:t>1、</w:t>
      </w:r>
      <w:r>
        <w:rPr>
          <w:rFonts w:hint="eastAsia"/>
          <w:b/>
          <w:bCs/>
        </w:rPr>
        <w:t>竞争性磋商响应函</w:t>
      </w:r>
      <w:r>
        <w:rPr>
          <w:rFonts w:hint="eastAsia"/>
          <w:lang w:val="zh-CN"/>
        </w:rPr>
        <w:t>；</w:t>
      </w:r>
    </w:p>
    <w:p w14:paraId="1FB6D113">
      <w:pPr>
        <w:pStyle w:val="132"/>
        <w:snapToGrid w:val="0"/>
        <w:spacing w:line="360" w:lineRule="auto"/>
        <w:ind w:firstLine="480" w:firstLineChars="200"/>
        <w:contextualSpacing/>
        <w:rPr>
          <w:lang w:val="zh-CN"/>
        </w:rPr>
      </w:pPr>
      <w:r>
        <w:rPr>
          <w:lang w:val="zh-CN"/>
        </w:rPr>
        <w:t>2、</w:t>
      </w:r>
      <w:r>
        <w:rPr>
          <w:b/>
        </w:rPr>
        <w:t>技术部分正负偏离表</w:t>
      </w:r>
      <w:r>
        <w:rPr>
          <w:rFonts w:hint="eastAsia"/>
          <w:lang w:val="zh-CN"/>
        </w:rPr>
        <w:t>；</w:t>
      </w:r>
      <w:r>
        <w:rPr>
          <w:rFonts w:hint="eastAsia" w:ascii="Arial" w:hAnsi="Arial" w:cs="Arial"/>
          <w:b/>
          <w:bCs/>
        </w:rPr>
        <w:t>注：“</w:t>
      </w:r>
      <w:r>
        <w:rPr>
          <w:rStyle w:val="39"/>
          <w:rFonts w:ascii="Arial" w:hAnsi="Arial" w:eastAsia="Arial" w:cs="Arial"/>
          <w:color w:val="333333"/>
          <w:sz w:val="21"/>
          <w:szCs w:val="21"/>
          <w:shd w:val="clear" w:color="auto" w:fill="FFFFFF"/>
        </w:rPr>
        <w:t>★</w:t>
      </w:r>
      <w:r>
        <w:rPr>
          <w:rFonts w:hint="eastAsia" w:ascii="Arial" w:hAnsi="Arial" w:cs="Arial"/>
          <w:b/>
          <w:bCs/>
        </w:rPr>
        <w:t>”的参数不接受负偏离，否则作无效投标处理。</w:t>
      </w:r>
    </w:p>
    <w:p w14:paraId="31090766">
      <w:pPr>
        <w:pStyle w:val="132"/>
        <w:snapToGrid w:val="0"/>
        <w:spacing w:line="360" w:lineRule="auto"/>
        <w:ind w:firstLine="480" w:firstLineChars="200"/>
        <w:contextualSpacing/>
        <w:rPr>
          <w:lang w:val="zh-CN"/>
        </w:rPr>
      </w:pPr>
      <w:r>
        <w:rPr>
          <w:lang w:val="zh-CN"/>
        </w:rPr>
        <w:t>3、</w:t>
      </w:r>
      <w:r>
        <w:rPr>
          <w:b/>
          <w:bCs/>
        </w:rPr>
        <w:t>商务部分正负偏离表</w:t>
      </w:r>
      <w:r>
        <w:rPr>
          <w:rFonts w:hint="eastAsia"/>
          <w:lang w:val="zh-CN"/>
        </w:rPr>
        <w:t>；</w:t>
      </w:r>
    </w:p>
    <w:p w14:paraId="29671755">
      <w:pPr>
        <w:pStyle w:val="132"/>
        <w:snapToGrid w:val="0"/>
        <w:spacing w:line="360" w:lineRule="auto"/>
        <w:ind w:firstLine="480" w:firstLineChars="200"/>
        <w:contextualSpacing/>
        <w:rPr>
          <w:lang w:val="zh-CN"/>
        </w:rPr>
      </w:pPr>
      <w:r>
        <w:rPr>
          <w:lang w:val="zh-CN"/>
        </w:rPr>
        <w:t>4、供应商一般情况表</w:t>
      </w:r>
      <w:r>
        <w:rPr>
          <w:rFonts w:hint="eastAsia"/>
          <w:lang w:val="zh-CN"/>
        </w:rPr>
        <w:t>；</w:t>
      </w:r>
    </w:p>
    <w:p w14:paraId="0B89947B">
      <w:pPr>
        <w:pStyle w:val="132"/>
        <w:snapToGrid w:val="0"/>
        <w:spacing w:line="360" w:lineRule="auto"/>
        <w:ind w:firstLine="480" w:firstLineChars="200"/>
        <w:contextualSpacing/>
      </w:pPr>
      <w:r>
        <w:rPr>
          <w:lang w:val="zh-CN"/>
        </w:rPr>
        <w:t>5、</w:t>
      </w:r>
      <w:r>
        <w:t>为方便评委评审，请供应商按评审办法中所涉及的事项顺序进行编制，可以补充相关材料</w:t>
      </w:r>
      <w:r>
        <w:rPr>
          <w:rFonts w:hint="eastAsia"/>
        </w:rPr>
        <w:t>；</w:t>
      </w:r>
    </w:p>
    <w:p w14:paraId="24BC7B39">
      <w:pPr>
        <w:pStyle w:val="132"/>
        <w:snapToGrid w:val="0"/>
        <w:spacing w:line="360" w:lineRule="auto"/>
        <w:ind w:firstLine="480" w:firstLineChars="200"/>
        <w:contextualSpacing/>
        <w:rPr>
          <w:rFonts w:ascii="Times New Roman" w:hAnsi="Times New Roman"/>
        </w:rPr>
      </w:pPr>
      <w:r>
        <w:rPr>
          <w:rFonts w:hint="eastAsia" w:ascii="Times New Roman" w:hAnsi="Times New Roman"/>
        </w:rPr>
        <w:t>6</w:t>
      </w:r>
      <w:r>
        <w:rPr>
          <w:rFonts w:ascii="Times New Roman" w:hAnsi="Times New Roman"/>
        </w:rPr>
        <w:t>、评审办法中未涉及的事项，供应商认为需要提交的其他资料。</w:t>
      </w:r>
    </w:p>
    <w:p w14:paraId="7F2F7BA7">
      <w:pPr>
        <w:pStyle w:val="132"/>
        <w:snapToGrid w:val="0"/>
        <w:spacing w:line="360" w:lineRule="auto"/>
        <w:ind w:firstLine="482" w:firstLineChars="200"/>
        <w:contextualSpacing/>
        <w:rPr>
          <w:rFonts w:ascii="Times New Roman" w:hAnsi="Times New Roman"/>
          <w:b/>
        </w:rPr>
      </w:pPr>
      <w:r>
        <w:rPr>
          <w:rFonts w:ascii="Times New Roman" w:hAnsi="Times New Roman"/>
          <w:b/>
        </w:rPr>
        <w:t>三、</w:t>
      </w:r>
      <w:r>
        <w:rPr>
          <w:rFonts w:hint="eastAsia" w:ascii="Times New Roman" w:hAnsi="Times New Roman"/>
          <w:b/>
        </w:rPr>
        <w:t>报价</w:t>
      </w:r>
      <w:r>
        <w:rPr>
          <w:rFonts w:ascii="Times New Roman" w:hAnsi="Times New Roman"/>
          <w:b/>
        </w:rPr>
        <w:t>文件</w:t>
      </w:r>
    </w:p>
    <w:p w14:paraId="16235DEE">
      <w:pPr>
        <w:pStyle w:val="132"/>
        <w:snapToGrid w:val="0"/>
        <w:spacing w:line="360" w:lineRule="auto"/>
        <w:ind w:firstLine="480" w:firstLineChars="200"/>
        <w:contextualSpacing/>
        <w:rPr>
          <w:rFonts w:ascii="Times New Roman" w:hAnsi="Times New Roman"/>
          <w:bCs/>
        </w:rPr>
      </w:pPr>
      <w:r>
        <w:rPr>
          <w:rFonts w:ascii="Times New Roman" w:hAnsi="Times New Roman"/>
          <w:bCs/>
        </w:rPr>
        <w:t>1、磋商报价总表；</w:t>
      </w:r>
    </w:p>
    <w:p w14:paraId="463638A1">
      <w:pPr>
        <w:pStyle w:val="132"/>
        <w:snapToGrid w:val="0"/>
        <w:spacing w:line="360" w:lineRule="auto"/>
        <w:ind w:firstLine="480" w:firstLineChars="200"/>
        <w:contextualSpacing/>
        <w:rPr>
          <w:rFonts w:ascii="Times New Roman" w:hAnsi="Times New Roman"/>
          <w:bCs/>
        </w:rPr>
      </w:pPr>
      <w:r>
        <w:rPr>
          <w:rFonts w:ascii="Times New Roman" w:hAnsi="Times New Roman"/>
          <w:bCs/>
        </w:rPr>
        <w:t>2、磋商报价明细表</w:t>
      </w:r>
      <w:r>
        <w:rPr>
          <w:rFonts w:hint="eastAsia" w:ascii="Times New Roman" w:hAnsi="Times New Roman"/>
          <w:bCs/>
        </w:rPr>
        <w:t>；</w:t>
      </w:r>
    </w:p>
    <w:p w14:paraId="43A9D1DE">
      <w:pPr>
        <w:snapToGrid w:val="0"/>
        <w:spacing w:line="480" w:lineRule="exact"/>
        <w:ind w:firstLine="482" w:firstLineChars="200"/>
        <w:contextualSpacing/>
        <w:rPr>
          <w:b/>
          <w:kern w:val="0"/>
          <w:sz w:val="24"/>
          <w:lang w:val="zh-CN"/>
        </w:rPr>
      </w:pPr>
      <w:r>
        <w:rPr>
          <w:b/>
          <w:kern w:val="0"/>
          <w:sz w:val="24"/>
          <w:lang w:val="zh-CN"/>
        </w:rPr>
        <w:t>注：</w:t>
      </w:r>
      <w:r>
        <w:rPr>
          <w:rFonts w:hint="eastAsia"/>
          <w:b/>
          <w:kern w:val="0"/>
          <w:sz w:val="24"/>
          <w:lang w:val="zh-CN"/>
        </w:rPr>
        <w:t>响应供应商</w:t>
      </w:r>
      <w:r>
        <w:rPr>
          <w:b/>
          <w:kern w:val="0"/>
          <w:sz w:val="24"/>
          <w:lang w:val="zh-CN"/>
        </w:rPr>
        <w:t>必须详细报出采购清单中各个子项的名称、品牌、规格型号、数量、单价。且磋商报价明细表合计应当与磋商报价总表</w:t>
      </w:r>
      <w:r>
        <w:rPr>
          <w:rFonts w:hint="eastAsia"/>
          <w:b/>
          <w:kern w:val="0"/>
          <w:sz w:val="24"/>
          <w:lang w:val="zh-CN"/>
        </w:rPr>
        <w:t>报价</w:t>
      </w:r>
      <w:r>
        <w:rPr>
          <w:b/>
          <w:kern w:val="0"/>
          <w:sz w:val="24"/>
          <w:lang w:val="zh-CN"/>
        </w:rPr>
        <w:t>合计相等。请各供应商务必按照以上要求填报，否则作为无效</w:t>
      </w:r>
      <w:r>
        <w:rPr>
          <w:rFonts w:hint="eastAsia"/>
          <w:b/>
          <w:kern w:val="0"/>
          <w:sz w:val="24"/>
          <w:lang w:val="zh-CN"/>
        </w:rPr>
        <w:t>响应</w:t>
      </w:r>
      <w:r>
        <w:rPr>
          <w:b/>
          <w:kern w:val="0"/>
          <w:sz w:val="24"/>
          <w:lang w:val="zh-CN"/>
        </w:rPr>
        <w:t>处理。</w:t>
      </w:r>
    </w:p>
    <w:p w14:paraId="592DB56A">
      <w:pPr>
        <w:pStyle w:val="132"/>
        <w:snapToGrid w:val="0"/>
        <w:spacing w:line="360" w:lineRule="auto"/>
        <w:ind w:firstLine="480" w:firstLineChars="200"/>
        <w:contextualSpacing/>
        <w:rPr>
          <w:rFonts w:ascii="Times New Roman" w:hAnsi="Times New Roman" w:cs="Times New Roman"/>
        </w:rPr>
      </w:pPr>
      <w:r>
        <w:rPr>
          <w:rFonts w:ascii="Times New Roman" w:hAnsi="Times New Roman" w:cs="Times New Roman"/>
        </w:rPr>
        <w:br w:type="page"/>
      </w:r>
    </w:p>
    <w:p w14:paraId="53E9A5B7">
      <w:pPr>
        <w:spacing w:line="360" w:lineRule="auto"/>
        <w:ind w:firstLine="643" w:firstLineChars="200"/>
        <w:rPr>
          <w:rFonts w:ascii="宋体" w:hAnsi="宋体" w:cs="宋体"/>
          <w:sz w:val="24"/>
        </w:rPr>
      </w:pPr>
      <w:r>
        <w:rPr>
          <w:rFonts w:hint="eastAsia" w:ascii="Calibri" w:hAnsi="Calibri"/>
          <w:b/>
          <w:bCs/>
          <w:sz w:val="32"/>
          <w:szCs w:val="32"/>
        </w:rPr>
        <w:t>附件：</w:t>
      </w:r>
      <w:r>
        <w:rPr>
          <w:rFonts w:ascii="Calibri" w:hAnsi="Calibri"/>
          <w:b/>
          <w:bCs/>
          <w:sz w:val="32"/>
          <w:szCs w:val="32"/>
        </w:rPr>
        <w:br w:type="textWrapping"/>
      </w:r>
    </w:p>
    <w:p w14:paraId="3ECA14A8">
      <w:pPr>
        <w:spacing w:line="360" w:lineRule="auto"/>
        <w:ind w:firstLine="480" w:firstLineChars="200"/>
        <w:rPr>
          <w:rFonts w:ascii="宋体" w:hAnsi="宋体" w:cs="宋体"/>
          <w:sz w:val="24"/>
        </w:rPr>
      </w:pPr>
    </w:p>
    <w:p w14:paraId="60E6C0E1">
      <w:pPr>
        <w:spacing w:line="360" w:lineRule="auto"/>
        <w:ind w:firstLine="480" w:firstLineChars="200"/>
        <w:rPr>
          <w:rFonts w:ascii="宋体" w:hAnsi="宋体" w:cs="宋体"/>
          <w:sz w:val="24"/>
        </w:rPr>
      </w:pPr>
    </w:p>
    <w:p w14:paraId="68764F70">
      <w:pPr>
        <w:spacing w:line="360" w:lineRule="auto"/>
        <w:jc w:val="center"/>
        <w:rPr>
          <w:rFonts w:ascii="宋体" w:hAnsi="宋体" w:cs="宋体"/>
          <w:b/>
          <w:sz w:val="24"/>
          <w:u w:val="single"/>
        </w:rPr>
      </w:pPr>
      <w:r>
        <w:rPr>
          <w:rFonts w:hint="eastAsia" w:ascii="宋体" w:hAnsi="宋体" w:cs="宋体"/>
          <w:b/>
          <w:sz w:val="24"/>
          <w:u w:val="single"/>
        </w:rPr>
        <w:t xml:space="preserve">项目名称 </w:t>
      </w:r>
    </w:p>
    <w:p w14:paraId="34254FB3">
      <w:pPr>
        <w:spacing w:line="360" w:lineRule="auto"/>
        <w:jc w:val="center"/>
        <w:rPr>
          <w:rFonts w:ascii="宋体" w:hAnsi="宋体" w:cs="宋体"/>
          <w:sz w:val="24"/>
        </w:rPr>
      </w:pPr>
      <w:r>
        <w:rPr>
          <w:rFonts w:hint="eastAsia" w:ascii="宋体" w:hAnsi="宋体" w:cs="宋体"/>
          <w:sz w:val="24"/>
        </w:rPr>
        <w:t>项目编号：</w:t>
      </w:r>
    </w:p>
    <w:p w14:paraId="1F4DF2EA">
      <w:pPr>
        <w:spacing w:line="360" w:lineRule="auto"/>
        <w:ind w:firstLine="2400" w:firstLineChars="1000"/>
        <w:rPr>
          <w:rFonts w:ascii="宋体" w:hAnsi="宋体" w:cs="宋体"/>
          <w:sz w:val="24"/>
        </w:rPr>
      </w:pPr>
    </w:p>
    <w:p w14:paraId="2DF4A887">
      <w:pPr>
        <w:spacing w:line="360" w:lineRule="auto"/>
        <w:rPr>
          <w:rFonts w:ascii="宋体" w:hAnsi="宋体" w:cs="宋体"/>
          <w:sz w:val="24"/>
        </w:rPr>
      </w:pPr>
    </w:p>
    <w:p w14:paraId="36EBEC75">
      <w:pPr>
        <w:spacing w:line="360" w:lineRule="auto"/>
        <w:rPr>
          <w:rFonts w:ascii="宋体" w:hAnsi="宋体" w:cs="宋体"/>
          <w:sz w:val="24"/>
        </w:rPr>
      </w:pPr>
    </w:p>
    <w:p w14:paraId="3AA1CC6F">
      <w:pPr>
        <w:spacing w:line="360" w:lineRule="auto"/>
        <w:rPr>
          <w:rFonts w:ascii="宋体" w:hAnsi="宋体" w:cs="宋体"/>
          <w:sz w:val="24"/>
        </w:rPr>
      </w:pPr>
    </w:p>
    <w:p w14:paraId="02D6D90E">
      <w:pPr>
        <w:spacing w:line="360" w:lineRule="auto"/>
        <w:rPr>
          <w:rFonts w:ascii="宋体" w:hAnsi="宋体" w:cs="宋体"/>
          <w:sz w:val="24"/>
        </w:rPr>
      </w:pPr>
    </w:p>
    <w:p w14:paraId="68C07B15">
      <w:pPr>
        <w:spacing w:line="360" w:lineRule="auto"/>
        <w:rPr>
          <w:rFonts w:ascii="宋体" w:hAnsi="宋体" w:cs="宋体"/>
          <w:sz w:val="24"/>
        </w:rPr>
      </w:pPr>
    </w:p>
    <w:p w14:paraId="70C56BB7">
      <w:pPr>
        <w:spacing w:line="360" w:lineRule="auto"/>
        <w:jc w:val="center"/>
        <w:rPr>
          <w:rFonts w:ascii="宋体" w:hAnsi="宋体" w:cs="宋体"/>
          <w:b/>
          <w:bCs/>
          <w:sz w:val="24"/>
        </w:rPr>
      </w:pPr>
      <w:r>
        <w:rPr>
          <w:rFonts w:hint="eastAsia" w:ascii="宋体" w:hAnsi="宋体" w:cs="宋体"/>
          <w:b/>
          <w:bCs/>
          <w:sz w:val="24"/>
        </w:rPr>
        <w:t>磋商响应文件</w:t>
      </w:r>
    </w:p>
    <w:p w14:paraId="4C7B62E3">
      <w:pPr>
        <w:spacing w:line="360" w:lineRule="auto"/>
        <w:rPr>
          <w:rFonts w:ascii="宋体" w:hAnsi="宋体" w:cs="宋体"/>
          <w:sz w:val="24"/>
        </w:rPr>
      </w:pPr>
    </w:p>
    <w:p w14:paraId="2DE9D536">
      <w:pPr>
        <w:spacing w:line="360" w:lineRule="auto"/>
        <w:ind w:firstLine="2400" w:firstLineChars="1000"/>
        <w:rPr>
          <w:rFonts w:ascii="宋体" w:hAnsi="宋体" w:cs="宋体"/>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填写：资格审查文件</w:t>
      </w:r>
    </w:p>
    <w:p w14:paraId="256C7FD8">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填写：商务技术文件</w:t>
      </w:r>
    </w:p>
    <w:p w14:paraId="2638A528">
      <w:pPr>
        <w:spacing w:line="360" w:lineRule="auto"/>
        <w:ind w:firstLine="2400" w:firstLineChars="1000"/>
        <w:rPr>
          <w:rFonts w:ascii="宋体" w:hAnsi="宋体" w:cs="宋体"/>
          <w:bCs/>
          <w:sz w:val="24"/>
        </w:rPr>
      </w:pPr>
      <w:r>
        <w:rPr>
          <w:rFonts w:hint="eastAsia" w:ascii="宋体" w:hAnsi="宋体" w:cs="宋体"/>
          <w:sz w:val="24"/>
        </w:rPr>
        <w:t>对应</w:t>
      </w:r>
      <w:r>
        <w:rPr>
          <w:rFonts w:hint="eastAsia" w:ascii="宋体" w:hAnsi="宋体" w:cs="宋体"/>
          <w:bCs/>
          <w:sz w:val="24"/>
        </w:rPr>
        <w:t>磋商响应文件</w:t>
      </w:r>
      <w:r>
        <w:rPr>
          <w:rFonts w:hint="eastAsia" w:ascii="宋体" w:hAnsi="宋体" w:cs="宋体"/>
          <w:sz w:val="24"/>
        </w:rPr>
        <w:t>填写：报价文件</w:t>
      </w:r>
    </w:p>
    <w:p w14:paraId="0B73597E">
      <w:pPr>
        <w:jc w:val="center"/>
        <w:rPr>
          <w:rFonts w:ascii="宋体" w:hAnsi="宋体" w:cs="宋体"/>
          <w:b/>
          <w:sz w:val="24"/>
        </w:rPr>
      </w:pPr>
      <w:r>
        <w:rPr>
          <w:rFonts w:hint="eastAsia" w:ascii="宋体" w:hAnsi="宋体" w:cs="宋体"/>
          <w:b/>
          <w:sz w:val="24"/>
        </w:rPr>
        <w:t>（资格后审）</w:t>
      </w:r>
    </w:p>
    <w:p w14:paraId="2914BA41">
      <w:pPr>
        <w:jc w:val="center"/>
        <w:rPr>
          <w:rFonts w:ascii="宋体" w:hAnsi="宋体" w:cs="宋体"/>
          <w:b/>
          <w:sz w:val="24"/>
        </w:rPr>
      </w:pPr>
    </w:p>
    <w:p w14:paraId="22894A86">
      <w:pPr>
        <w:snapToGrid w:val="0"/>
        <w:spacing w:line="520" w:lineRule="exact"/>
        <w:jc w:val="center"/>
        <w:rPr>
          <w:rFonts w:ascii="宋体" w:hAnsi="宋体" w:cs="宋体"/>
          <w:b/>
          <w:sz w:val="24"/>
        </w:rPr>
      </w:pPr>
      <w:r>
        <w:rPr>
          <w:rFonts w:hint="eastAsia" w:ascii="宋体" w:hAnsi="宋体" w:cs="宋体"/>
          <w:b/>
          <w:sz w:val="24"/>
        </w:rPr>
        <w:t xml:space="preserve"> </w:t>
      </w:r>
    </w:p>
    <w:p w14:paraId="74D6F99C">
      <w:pPr>
        <w:spacing w:line="360" w:lineRule="auto"/>
        <w:rPr>
          <w:rFonts w:ascii="宋体" w:hAnsi="宋体" w:cs="宋体"/>
          <w:sz w:val="24"/>
        </w:rPr>
      </w:pPr>
    </w:p>
    <w:p w14:paraId="0743A8B7">
      <w:pPr>
        <w:spacing w:line="360" w:lineRule="auto"/>
        <w:rPr>
          <w:rFonts w:ascii="宋体" w:hAnsi="宋体" w:cs="宋体"/>
          <w:sz w:val="24"/>
        </w:rPr>
      </w:pPr>
    </w:p>
    <w:p w14:paraId="0464BC47">
      <w:pPr>
        <w:spacing w:line="360" w:lineRule="auto"/>
        <w:rPr>
          <w:rFonts w:ascii="宋体" w:hAnsi="宋体" w:cs="宋体"/>
          <w:sz w:val="24"/>
        </w:rPr>
      </w:pPr>
    </w:p>
    <w:p w14:paraId="36D45EA0">
      <w:pPr>
        <w:spacing w:line="360" w:lineRule="auto"/>
        <w:rPr>
          <w:rFonts w:ascii="宋体" w:hAnsi="宋体" w:cs="宋体"/>
          <w:sz w:val="24"/>
        </w:rPr>
      </w:pPr>
    </w:p>
    <w:p w14:paraId="52FD7D65">
      <w:pPr>
        <w:spacing w:line="360" w:lineRule="auto"/>
        <w:rPr>
          <w:rFonts w:ascii="宋体" w:hAnsi="宋体" w:cs="宋体"/>
          <w:sz w:val="24"/>
        </w:rPr>
      </w:pPr>
    </w:p>
    <w:p w14:paraId="0D533207">
      <w:pPr>
        <w:spacing w:line="360" w:lineRule="auto"/>
        <w:ind w:firstLine="1440" w:firstLineChars="600"/>
        <w:rPr>
          <w:rFonts w:ascii="宋体" w:hAnsi="宋体" w:cs="宋体"/>
          <w:sz w:val="24"/>
        </w:rPr>
      </w:pPr>
      <w:r>
        <w:rPr>
          <w:rFonts w:hint="eastAsia" w:ascii="宋体" w:hAnsi="宋体" w:cs="宋体"/>
          <w:sz w:val="24"/>
        </w:rPr>
        <w:t>响应供应商：参加供应商全称（公章）</w:t>
      </w:r>
    </w:p>
    <w:p w14:paraId="31EE991C">
      <w:pPr>
        <w:spacing w:line="360" w:lineRule="auto"/>
        <w:ind w:firstLine="1440" w:firstLineChars="600"/>
        <w:rPr>
          <w:rFonts w:ascii="宋体" w:hAnsi="宋体" w:cs="宋体"/>
          <w:sz w:val="24"/>
        </w:rPr>
      </w:pPr>
      <w:r>
        <w:rPr>
          <w:rFonts w:hint="eastAsia" w:ascii="宋体" w:hAnsi="宋体" w:cs="宋体"/>
          <w:sz w:val="24"/>
        </w:rPr>
        <w:t>日  期：      年  月  日</w:t>
      </w:r>
    </w:p>
    <w:p w14:paraId="3D020417">
      <w:pPr>
        <w:jc w:val="left"/>
        <w:rPr>
          <w:rFonts w:ascii="宋体" w:hAnsi="宋体" w:cs="宋体"/>
          <w:b/>
          <w:bCs/>
          <w:sz w:val="24"/>
        </w:rPr>
      </w:pPr>
      <w:r>
        <w:rPr>
          <w:rFonts w:ascii="宋体" w:hAnsi="宋体" w:cs="宋体"/>
          <w:sz w:val="24"/>
        </w:rPr>
        <w:br w:type="page"/>
      </w:r>
      <w:r>
        <w:rPr>
          <w:rFonts w:hint="eastAsia" w:ascii="宋体" w:hAnsi="宋体" w:cs="宋体"/>
          <w:b/>
          <w:bCs/>
          <w:sz w:val="24"/>
        </w:rPr>
        <w:t>一、资格审查文件相关的格式文件及表格</w:t>
      </w:r>
    </w:p>
    <w:p w14:paraId="1A07B8F2">
      <w:pPr>
        <w:snapToGrid w:val="0"/>
        <w:spacing w:line="360" w:lineRule="auto"/>
        <w:jc w:val="center"/>
        <w:outlineLvl w:val="4"/>
        <w:rPr>
          <w:rFonts w:ascii="宋体" w:hAnsi="宋体" w:cs="宋体"/>
          <w:b/>
          <w:bCs/>
          <w:sz w:val="24"/>
        </w:rPr>
      </w:pPr>
    </w:p>
    <w:p w14:paraId="0E698393">
      <w:pPr>
        <w:snapToGrid w:val="0"/>
        <w:spacing w:line="360" w:lineRule="auto"/>
        <w:jc w:val="center"/>
        <w:outlineLvl w:val="4"/>
        <w:rPr>
          <w:rFonts w:ascii="宋体" w:hAnsi="宋体" w:cs="宋体"/>
          <w:b/>
          <w:bCs/>
          <w:sz w:val="24"/>
        </w:rPr>
      </w:pPr>
      <w:r>
        <w:rPr>
          <w:rFonts w:hint="eastAsia" w:ascii="宋体" w:hAnsi="宋体" w:cs="宋体"/>
          <w:b/>
          <w:bCs/>
          <w:sz w:val="24"/>
        </w:rPr>
        <w:t>1、关于资格文件的声明函</w:t>
      </w:r>
    </w:p>
    <w:p w14:paraId="34D7EBE7">
      <w:pPr>
        <w:adjustRightInd w:val="0"/>
        <w:snapToGrid w:val="0"/>
        <w:spacing w:line="360" w:lineRule="auto"/>
        <w:jc w:val="left"/>
        <w:rPr>
          <w:rFonts w:ascii="宋体" w:hAnsi="宋体" w:cs="宋体"/>
          <w:sz w:val="24"/>
          <w:u w:val="single"/>
        </w:rPr>
      </w:pPr>
    </w:p>
    <w:p w14:paraId="21758351">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34E0CF5E">
      <w:pPr>
        <w:overflowPunct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本公司愿就由贵单位组织实施的</w:t>
      </w:r>
      <w:r>
        <w:rPr>
          <w:rFonts w:hint="eastAsia" w:ascii="宋体" w:hAnsi="宋体" w:cs="宋体"/>
          <w:sz w:val="24"/>
          <w:u w:val="single"/>
        </w:rPr>
        <w:t xml:space="preserve">          （磋商项目名称及项目编号</w:t>
      </w:r>
      <w:r>
        <w:rPr>
          <w:rFonts w:ascii="宋体" w:hAnsi="宋体" w:cs="宋体"/>
          <w:sz w:val="24"/>
          <w:u w:val="single"/>
        </w:rPr>
        <w:t>)</w:t>
      </w:r>
      <w:r>
        <w:rPr>
          <w:rFonts w:hint="eastAsia" w:ascii="宋体" w:hAnsi="宋体" w:cs="宋体"/>
          <w:sz w:val="24"/>
        </w:rPr>
        <w:t>的活动参与磋商。本公司所提交的磋商文件中所有关于资格的文件、证明和陈述均是真实的、准确的。若与真实情况不符，本公司愿意承担由此而产生的一切后果。</w:t>
      </w:r>
    </w:p>
    <w:p w14:paraId="445F2502">
      <w:pPr>
        <w:overflowPunct w:val="0"/>
        <w:adjustRightInd w:val="0"/>
        <w:spacing w:line="360" w:lineRule="auto"/>
        <w:ind w:firstLine="420"/>
        <w:jc w:val="left"/>
        <w:textAlignment w:val="baseline"/>
        <w:rPr>
          <w:rFonts w:ascii="宋体" w:hAnsi="宋体" w:cs="宋体"/>
          <w:sz w:val="24"/>
        </w:rPr>
      </w:pPr>
    </w:p>
    <w:p w14:paraId="12A3DBA7">
      <w:pPr>
        <w:overflowPunct w:val="0"/>
        <w:adjustRightInd w:val="0"/>
        <w:spacing w:line="360" w:lineRule="auto"/>
        <w:ind w:firstLine="420"/>
        <w:jc w:val="left"/>
        <w:textAlignment w:val="baseline"/>
        <w:rPr>
          <w:rFonts w:ascii="宋体" w:hAnsi="宋体" w:cs="宋体"/>
          <w:sz w:val="24"/>
        </w:rPr>
      </w:pPr>
    </w:p>
    <w:p w14:paraId="139259E6">
      <w:pPr>
        <w:spacing w:line="360" w:lineRule="auto"/>
        <w:ind w:firstLine="480" w:firstLineChars="200"/>
        <w:jc w:val="right"/>
        <w:rPr>
          <w:rFonts w:ascii="宋体" w:hAnsi="宋体" w:cs="宋体"/>
          <w:sz w:val="24"/>
        </w:rPr>
      </w:pPr>
      <w:r>
        <w:rPr>
          <w:rFonts w:hint="eastAsia" w:ascii="宋体" w:hAnsi="宋体" w:cs="宋体"/>
          <w:sz w:val="24"/>
        </w:rPr>
        <w:t>响应供应商：</w:t>
      </w:r>
      <w:r>
        <w:rPr>
          <w:rFonts w:hint="eastAsia" w:ascii="宋体" w:hAnsi="宋体" w:cs="宋体"/>
          <w:sz w:val="24"/>
          <w:u w:val="single"/>
        </w:rPr>
        <w:t xml:space="preserve">                    </w:t>
      </w:r>
      <w:r>
        <w:rPr>
          <w:rFonts w:hint="eastAsia" w:ascii="宋体" w:hAnsi="宋体" w:cs="宋体"/>
          <w:sz w:val="24"/>
        </w:rPr>
        <w:t>（加盖公章）</w:t>
      </w:r>
    </w:p>
    <w:p w14:paraId="4DB5A161">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61F865BC">
      <w:pPr>
        <w:spacing w:line="360" w:lineRule="auto"/>
        <w:ind w:firstLine="1320" w:firstLineChars="550"/>
        <w:jc w:val="right"/>
        <w:rPr>
          <w:rFonts w:ascii="宋体" w:hAnsi="宋体" w:cs="宋体"/>
          <w:sz w:val="24"/>
        </w:rPr>
      </w:pPr>
      <w:r>
        <w:rPr>
          <w:rFonts w:hint="eastAsia" w:ascii="宋体" w:hAnsi="宋体" w:cs="宋体"/>
          <w:sz w:val="24"/>
        </w:rPr>
        <w:t>年      月     日</w:t>
      </w:r>
    </w:p>
    <w:p w14:paraId="1373A036">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2、法定代表人身份证明</w:t>
      </w:r>
    </w:p>
    <w:p w14:paraId="6830317C">
      <w:pPr>
        <w:spacing w:line="360" w:lineRule="auto"/>
        <w:jc w:val="center"/>
        <w:rPr>
          <w:rFonts w:ascii="宋体" w:hAnsi="宋体" w:cs="宋体"/>
          <w:sz w:val="24"/>
        </w:rPr>
      </w:pPr>
      <w:r>
        <w:rPr>
          <w:rFonts w:hint="eastAsia" w:ascii="宋体" w:hAnsi="宋体" w:cs="宋体"/>
          <w:sz w:val="24"/>
          <w:u w:val="single"/>
        </w:rPr>
        <w:t>（法定代表人参加磋商时，须出示此证明）</w:t>
      </w:r>
    </w:p>
    <w:p w14:paraId="18C40BB8">
      <w:pPr>
        <w:adjustRightInd w:val="0"/>
        <w:snapToGrid w:val="0"/>
        <w:spacing w:line="360" w:lineRule="auto"/>
        <w:jc w:val="left"/>
        <w:rPr>
          <w:rFonts w:ascii="宋体" w:hAnsi="宋体" w:cs="宋体"/>
          <w:sz w:val="24"/>
          <w:u w:val="single"/>
        </w:rPr>
      </w:pPr>
    </w:p>
    <w:p w14:paraId="764606D2">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7CF90D97">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w:t>
      </w:r>
      <w:r>
        <w:rPr>
          <w:rFonts w:hint="eastAsia" w:ascii="宋体" w:hAnsi="宋体" w:cs="宋体"/>
          <w:sz w:val="24"/>
        </w:rPr>
        <w:t>参加贵单位组织的</w:t>
      </w:r>
      <w:r>
        <w:rPr>
          <w:rFonts w:hint="eastAsia" w:ascii="宋体" w:hAnsi="宋体" w:cs="宋体"/>
          <w:sz w:val="24"/>
          <w:u w:val="single"/>
        </w:rPr>
        <w:t>（竞争性磋商项目名称及项目编号</w:t>
      </w:r>
      <w:r>
        <w:rPr>
          <w:rFonts w:ascii="宋体" w:hAnsi="宋体" w:cs="宋体"/>
          <w:sz w:val="24"/>
          <w:u w:val="single"/>
        </w:rPr>
        <w:t>)</w:t>
      </w:r>
      <w:r>
        <w:rPr>
          <w:rFonts w:hint="eastAsia" w:ascii="宋体" w:hAnsi="宋体" w:cs="宋体"/>
          <w:sz w:val="24"/>
        </w:rPr>
        <w:t>项目的磋商活动，全权代表我公司处理竞争性磋商的有关事宜。</w:t>
      </w:r>
    </w:p>
    <w:p w14:paraId="77607DBE">
      <w:pPr>
        <w:spacing w:line="360" w:lineRule="auto"/>
        <w:ind w:firstLine="480" w:firstLineChars="200"/>
        <w:rPr>
          <w:rFonts w:ascii="宋体" w:hAnsi="宋体" w:cs="宋体"/>
          <w:sz w:val="24"/>
        </w:rPr>
      </w:pPr>
    </w:p>
    <w:p w14:paraId="5636A708">
      <w:pPr>
        <w:spacing w:line="360" w:lineRule="auto"/>
        <w:rPr>
          <w:rFonts w:ascii="宋体" w:hAnsi="宋体" w:cs="宋体"/>
          <w:sz w:val="24"/>
        </w:rPr>
      </w:pPr>
      <w:r>
        <w:rPr>
          <w:rFonts w:hint="eastAsia" w:ascii="宋体" w:hAnsi="宋体" w:cs="宋体"/>
          <w:sz w:val="24"/>
        </w:rPr>
        <w:t>附：法定代表人情况：</w:t>
      </w:r>
    </w:p>
    <w:p w14:paraId="7C8CD01B">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7B1E272E">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9A1D491">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413AB960">
      <w:pPr>
        <w:adjustRightInd w:val="0"/>
        <w:snapToGrid w:val="0"/>
        <w:spacing w:line="360" w:lineRule="auto"/>
        <w:ind w:firstLine="482"/>
        <w:rPr>
          <w:kern w:val="0"/>
          <w:sz w:val="24"/>
          <w:szCs w:val="20"/>
          <w:shd w:val="clear" w:color="auto" w:fill="FFFFFF"/>
        </w:rPr>
      </w:pPr>
    </w:p>
    <w:p w14:paraId="4C1FC550">
      <w:pPr>
        <w:rPr>
          <w:rFonts w:ascii="宋体" w:hAnsi="宋体" w:cs="宋体"/>
          <w:sz w:val="24"/>
        </w:rPr>
      </w:pPr>
    </w:p>
    <w:p w14:paraId="08E9B3E4">
      <w:pPr>
        <w:widowControl/>
        <w:tabs>
          <w:tab w:val="right" w:leader="hyphen" w:pos="9736"/>
        </w:tabs>
        <w:spacing w:after="100" w:line="276" w:lineRule="auto"/>
        <w:jc w:val="center"/>
        <w:rPr>
          <w:rFonts w:ascii="Calibri" w:hAnsi="Calibri"/>
          <w:kern w:val="0"/>
          <w:sz w:val="22"/>
          <w:szCs w:val="22"/>
        </w:rPr>
      </w:pPr>
    </w:p>
    <w:p w14:paraId="17156D4B">
      <w:pPr>
        <w:spacing w:line="360" w:lineRule="auto"/>
        <w:rPr>
          <w:rFonts w:ascii="宋体" w:hAnsi="宋体" w:cs="宋体"/>
          <w:sz w:val="24"/>
        </w:rPr>
      </w:pPr>
      <w:r>
        <w:rPr>
          <w:rFonts w:hint="eastAsia" w:ascii="宋体" w:hAnsi="宋体" w:cs="宋体"/>
          <w:sz w:val="24"/>
        </w:rPr>
        <w:t>单位名称（公章）             法定代表人（签字或盖章）</w:t>
      </w:r>
    </w:p>
    <w:p w14:paraId="7EDFB085">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69FA602C">
      <w:pPr>
        <w:spacing w:line="360" w:lineRule="auto"/>
        <w:rPr>
          <w:rFonts w:ascii="宋体" w:hAnsi="宋体" w:cs="宋体"/>
          <w:sz w:val="24"/>
        </w:rPr>
      </w:pPr>
      <w:r>
        <w:rPr>
          <w:rFonts w:hint="eastAsia" w:ascii="宋体" w:hAnsi="宋体" w:cs="宋体"/>
          <w:sz w:val="24"/>
        </w:rPr>
        <w:t xml:space="preserve"> </w:t>
      </w:r>
    </w:p>
    <w:p w14:paraId="4F538037">
      <w:pPr>
        <w:spacing w:line="360" w:lineRule="auto"/>
        <w:rPr>
          <w:rFonts w:ascii="宋体" w:hAnsi="宋体" w:cs="宋体"/>
          <w:sz w:val="24"/>
        </w:rPr>
      </w:pPr>
      <w:r>
        <w:rPr>
          <w:rFonts w:hint="eastAsia" w:ascii="宋体" w:hAnsi="宋体" w:cs="宋体"/>
          <w:sz w:val="24"/>
        </w:rPr>
        <w:t xml:space="preserve"> </w:t>
      </w:r>
    </w:p>
    <w:p w14:paraId="6B258D40">
      <w:pPr>
        <w:spacing w:line="360" w:lineRule="auto"/>
        <w:rPr>
          <w:rFonts w:ascii="宋体" w:hAnsi="宋体" w:cs="宋体"/>
          <w:sz w:val="24"/>
        </w:rPr>
      </w:pPr>
      <w:r>
        <w:rPr>
          <w:rFonts w:hint="eastAsia" w:ascii="宋体" w:hAnsi="宋体" w:cs="宋体"/>
          <w:sz w:val="24"/>
        </w:rPr>
        <w:t>法定代表人身份证复印件（正反面）</w:t>
      </w:r>
    </w:p>
    <w:p w14:paraId="204FA81E">
      <w:pPr>
        <w:spacing w:line="360" w:lineRule="auto"/>
        <w:rPr>
          <w:rFonts w:ascii="宋体" w:hAnsi="宋体" w:cs="宋体"/>
          <w:sz w:val="24"/>
        </w:rPr>
      </w:pPr>
      <w:r>
        <w:rPr>
          <w:rFonts w:hint="eastAsia" w:ascii="宋体" w:hAnsi="宋体" w:cs="宋体"/>
          <w:sz w:val="24"/>
        </w:rPr>
        <w:t xml:space="preserve"> </w:t>
      </w:r>
    </w:p>
    <w:p w14:paraId="05855D5F">
      <w:pPr>
        <w:spacing w:line="360" w:lineRule="auto"/>
        <w:ind w:firstLine="2280" w:firstLineChars="950"/>
        <w:rPr>
          <w:rFonts w:ascii="宋体" w:hAnsi="宋体" w:cs="宋体"/>
          <w:sz w:val="24"/>
        </w:rPr>
      </w:pPr>
      <w:r>
        <w:rPr>
          <w:rFonts w:hint="eastAsia" w:ascii="宋体" w:hAnsi="宋体" w:cs="宋体"/>
          <w:sz w:val="24"/>
        </w:rPr>
        <w:t>（粘贴此处）</w:t>
      </w:r>
    </w:p>
    <w:p w14:paraId="5B057CCD">
      <w:pPr>
        <w:spacing w:line="360" w:lineRule="auto"/>
        <w:ind w:firstLine="2289" w:firstLineChars="950"/>
        <w:rPr>
          <w:rFonts w:ascii="宋体" w:hAnsi="宋体" w:cs="宋体"/>
          <w:b/>
          <w:bCs/>
          <w:sz w:val="24"/>
        </w:rPr>
      </w:pPr>
    </w:p>
    <w:p w14:paraId="5BA6CB17">
      <w:pPr>
        <w:spacing w:line="360" w:lineRule="auto"/>
        <w:ind w:firstLine="2289" w:firstLineChars="950"/>
        <w:rPr>
          <w:rFonts w:ascii="宋体" w:hAnsi="宋体" w:cs="宋体"/>
          <w:b/>
          <w:bCs/>
          <w:sz w:val="24"/>
        </w:rPr>
      </w:pPr>
      <w:r>
        <w:rPr>
          <w:rFonts w:hint="eastAsia" w:ascii="宋体" w:hAnsi="宋体" w:cs="宋体"/>
          <w:b/>
          <w:bCs/>
          <w:sz w:val="24"/>
        </w:rPr>
        <w:t xml:space="preserve"> </w:t>
      </w:r>
    </w:p>
    <w:p w14:paraId="350A964B">
      <w:pPr>
        <w:spacing w:line="360" w:lineRule="auto"/>
        <w:rPr>
          <w:rFonts w:ascii="宋体" w:hAnsi="宋体" w:cs="宋体"/>
          <w:sz w:val="24"/>
        </w:rPr>
      </w:pPr>
      <w:r>
        <w:rPr>
          <w:rFonts w:hint="eastAsia" w:ascii="宋体" w:hAnsi="宋体" w:cs="宋体"/>
          <w:b/>
          <w:bCs/>
          <w:sz w:val="24"/>
        </w:rPr>
        <w:t>注: 如为法定代表人参加竞磋时，须将身份证原件带至磋商现场备查。</w:t>
      </w:r>
    </w:p>
    <w:p w14:paraId="7E7FF64B">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3、授权委托书</w:t>
      </w:r>
    </w:p>
    <w:p w14:paraId="02BD103B">
      <w:pPr>
        <w:snapToGrid w:val="0"/>
        <w:spacing w:line="360" w:lineRule="auto"/>
        <w:jc w:val="center"/>
        <w:rPr>
          <w:rFonts w:ascii="宋体" w:hAnsi="宋体" w:cs="宋体"/>
          <w:sz w:val="24"/>
          <w:u w:val="single"/>
        </w:rPr>
      </w:pPr>
      <w:r>
        <w:rPr>
          <w:rFonts w:hint="eastAsia" w:ascii="宋体" w:hAnsi="宋体" w:cs="宋体"/>
          <w:sz w:val="24"/>
          <w:u w:val="single"/>
        </w:rPr>
        <w:t>（被授权人参加磋商时，须出示此证明）</w:t>
      </w:r>
    </w:p>
    <w:p w14:paraId="0EB3254D">
      <w:pPr>
        <w:snapToGrid w:val="0"/>
        <w:spacing w:line="360" w:lineRule="auto"/>
        <w:rPr>
          <w:rFonts w:ascii="宋体" w:hAnsi="宋体" w:cs="宋体"/>
          <w:bCs/>
          <w:sz w:val="24"/>
        </w:rPr>
      </w:pPr>
    </w:p>
    <w:p w14:paraId="49A4FAE4">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6F9B19C1">
      <w:pPr>
        <w:snapToGrid w:val="0"/>
        <w:spacing w:line="360" w:lineRule="auto"/>
        <w:ind w:firstLine="480" w:firstLineChars="200"/>
        <w:rPr>
          <w:rFonts w:ascii="宋体" w:hAnsi="宋体" w:cs="宋体"/>
          <w:sz w:val="24"/>
        </w:rPr>
      </w:pPr>
      <w:r>
        <w:rPr>
          <w:rFonts w:hint="eastAsia" w:hAnsi="宋体" w:cs="宋体"/>
          <w:sz w:val="24"/>
        </w:rPr>
        <w:t>兹授权</w:t>
      </w:r>
      <w:r>
        <w:rPr>
          <w:rFonts w:hint="eastAsia" w:hAnsi="宋体" w:cs="宋体"/>
          <w:sz w:val="24"/>
          <w:u w:val="single"/>
        </w:rPr>
        <w:t xml:space="preserve">    （</w:t>
      </w:r>
      <w:r>
        <w:rPr>
          <w:rFonts w:hint="eastAsia" w:hAnsi="宋体" w:cs="宋体"/>
          <w:sz w:val="24"/>
        </w:rPr>
        <w:t>被授权人的姓名）代表我公司参加</w:t>
      </w:r>
      <w:r>
        <w:rPr>
          <w:rFonts w:hint="eastAsia" w:hAnsi="宋体" w:cs="宋体"/>
          <w:sz w:val="24"/>
          <w:u w:val="single"/>
        </w:rPr>
        <w:t xml:space="preserve">   （</w:t>
      </w:r>
      <w:r>
        <w:rPr>
          <w:rFonts w:hint="eastAsia" w:ascii="宋体" w:hAnsi="宋体" w:cs="宋体"/>
          <w:sz w:val="24"/>
          <w:u w:val="single"/>
        </w:rPr>
        <w:t>竞争性磋商项目名称及项目编号</w:t>
      </w:r>
      <w:r>
        <w:rPr>
          <w:rFonts w:hAnsi="宋体"/>
          <w:sz w:val="24"/>
          <w:u w:val="single"/>
        </w:rPr>
        <w:t>)</w:t>
      </w:r>
      <w:r>
        <w:rPr>
          <w:rFonts w:hint="eastAsia" w:hAnsi="宋体" w:cs="宋体"/>
          <w:sz w:val="24"/>
        </w:rPr>
        <w:t>项目的政府采购活动，全权处理一切与该采购项目有关的事务。其在办理上述事宜过程中所签署的所有文件我公司均予以承认。</w:t>
      </w:r>
    </w:p>
    <w:p w14:paraId="22CCB5A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14:paraId="39FF3FDC">
      <w:pPr>
        <w:adjustRightInd w:val="0"/>
        <w:snapToGrid w:val="0"/>
        <w:spacing w:line="360" w:lineRule="auto"/>
        <w:ind w:firstLine="480" w:firstLineChars="200"/>
        <w:jc w:val="left"/>
        <w:rPr>
          <w:rFonts w:ascii="宋体" w:hAnsi="宋体" w:cs="宋体"/>
          <w:sz w:val="24"/>
        </w:rPr>
      </w:pPr>
    </w:p>
    <w:p w14:paraId="1FF9790A">
      <w:pPr>
        <w:spacing w:line="360" w:lineRule="auto"/>
        <w:rPr>
          <w:rFonts w:ascii="宋体" w:hAnsi="宋体" w:cs="宋体"/>
          <w:sz w:val="24"/>
        </w:rPr>
      </w:pPr>
      <w:r>
        <w:rPr>
          <w:rFonts w:hint="eastAsia" w:ascii="宋体" w:hAnsi="宋体" w:cs="宋体"/>
          <w:sz w:val="24"/>
        </w:rPr>
        <w:t>附：被授权人情况：</w:t>
      </w:r>
    </w:p>
    <w:p w14:paraId="5D7BE23E">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6E83E194">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262B9C38">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3786FE47">
      <w:pPr>
        <w:spacing w:line="360" w:lineRule="auto"/>
        <w:rPr>
          <w:rFonts w:ascii="宋体" w:hAnsi="宋体" w:cs="宋体"/>
          <w:sz w:val="24"/>
        </w:rPr>
      </w:pPr>
      <w:r>
        <w:rPr>
          <w:rFonts w:hint="eastAsia" w:ascii="宋体" w:hAnsi="宋体" w:cs="宋体"/>
          <w:sz w:val="24"/>
        </w:rPr>
        <w:t>单位名称（公章）             法定代表人（签字或盖章）</w:t>
      </w:r>
    </w:p>
    <w:p w14:paraId="0B473CE7">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5946765">
      <w:pPr>
        <w:spacing w:line="360" w:lineRule="auto"/>
        <w:rPr>
          <w:rFonts w:ascii="宋体" w:hAnsi="宋体" w:cs="宋体"/>
          <w:sz w:val="24"/>
        </w:rPr>
      </w:pPr>
      <w:r>
        <w:rPr>
          <w:rFonts w:hint="eastAsia" w:ascii="宋体" w:hAnsi="宋体" w:cs="宋体"/>
          <w:sz w:val="24"/>
        </w:rPr>
        <w:t xml:space="preserve"> </w:t>
      </w:r>
    </w:p>
    <w:p w14:paraId="129E363D">
      <w:pPr>
        <w:spacing w:line="360" w:lineRule="auto"/>
        <w:rPr>
          <w:rFonts w:ascii="宋体" w:hAnsi="宋体" w:cs="宋体"/>
          <w:sz w:val="24"/>
        </w:rPr>
      </w:pPr>
      <w:r>
        <w:rPr>
          <w:rFonts w:hint="eastAsia" w:ascii="宋体" w:hAnsi="宋体" w:cs="宋体"/>
          <w:sz w:val="24"/>
        </w:rPr>
        <w:t xml:space="preserve"> </w:t>
      </w:r>
    </w:p>
    <w:p w14:paraId="40B0C03A">
      <w:pPr>
        <w:spacing w:line="360" w:lineRule="auto"/>
        <w:rPr>
          <w:rFonts w:ascii="宋体" w:hAnsi="宋体" w:cs="宋体"/>
          <w:sz w:val="24"/>
        </w:rPr>
      </w:pPr>
      <w:r>
        <w:rPr>
          <w:rFonts w:hint="eastAsia" w:ascii="宋体" w:hAnsi="宋体" w:cs="宋体"/>
          <w:sz w:val="24"/>
        </w:rPr>
        <w:t>法定代表人身份证复印件（正反面）</w:t>
      </w:r>
    </w:p>
    <w:p w14:paraId="774443F0">
      <w:pPr>
        <w:spacing w:line="360" w:lineRule="auto"/>
        <w:rPr>
          <w:rFonts w:ascii="宋体" w:hAnsi="宋体" w:cs="宋体"/>
          <w:sz w:val="24"/>
        </w:rPr>
      </w:pPr>
    </w:p>
    <w:p w14:paraId="70E11EC1">
      <w:pPr>
        <w:spacing w:line="360" w:lineRule="auto"/>
        <w:ind w:firstLine="2160" w:firstLineChars="900"/>
        <w:rPr>
          <w:rFonts w:ascii="宋体" w:hAnsi="宋体" w:cs="宋体"/>
          <w:sz w:val="24"/>
        </w:rPr>
      </w:pPr>
      <w:r>
        <w:rPr>
          <w:rFonts w:hint="eastAsia" w:ascii="宋体" w:hAnsi="宋体" w:cs="宋体"/>
          <w:sz w:val="24"/>
        </w:rPr>
        <w:t>（粘贴此处）</w:t>
      </w:r>
    </w:p>
    <w:p w14:paraId="0AC8181E">
      <w:pPr>
        <w:spacing w:line="360" w:lineRule="auto"/>
        <w:rPr>
          <w:rFonts w:ascii="宋体" w:hAnsi="宋体" w:cs="宋体"/>
          <w:sz w:val="24"/>
        </w:rPr>
      </w:pPr>
    </w:p>
    <w:p w14:paraId="51677B23">
      <w:pPr>
        <w:spacing w:line="360" w:lineRule="auto"/>
        <w:rPr>
          <w:rFonts w:ascii="宋体" w:hAnsi="宋体" w:cs="宋体"/>
          <w:sz w:val="24"/>
        </w:rPr>
      </w:pPr>
    </w:p>
    <w:p w14:paraId="6DF69050">
      <w:pPr>
        <w:spacing w:line="360" w:lineRule="auto"/>
        <w:rPr>
          <w:rFonts w:ascii="宋体" w:hAnsi="宋体" w:cs="宋体"/>
          <w:sz w:val="24"/>
        </w:rPr>
      </w:pPr>
      <w:r>
        <w:rPr>
          <w:rFonts w:hint="eastAsia" w:ascii="宋体" w:hAnsi="宋体" w:cs="宋体"/>
          <w:sz w:val="24"/>
        </w:rPr>
        <w:t>被授权人身份证复印件（正反面）</w:t>
      </w:r>
    </w:p>
    <w:p w14:paraId="00A94840">
      <w:pPr>
        <w:spacing w:line="360" w:lineRule="auto"/>
        <w:rPr>
          <w:rFonts w:ascii="宋体" w:hAnsi="宋体" w:cs="宋体"/>
          <w:sz w:val="24"/>
        </w:rPr>
      </w:pPr>
    </w:p>
    <w:p w14:paraId="5BB406D5">
      <w:pPr>
        <w:spacing w:line="360" w:lineRule="auto"/>
        <w:rPr>
          <w:rFonts w:ascii="宋体" w:hAnsi="宋体" w:cs="宋体"/>
          <w:sz w:val="24"/>
        </w:rPr>
      </w:pPr>
    </w:p>
    <w:p w14:paraId="0E839845">
      <w:pPr>
        <w:spacing w:line="360" w:lineRule="auto"/>
        <w:rPr>
          <w:rFonts w:ascii="宋体" w:hAnsi="宋体" w:cs="宋体"/>
          <w:sz w:val="24"/>
        </w:rPr>
      </w:pPr>
      <w:r>
        <w:rPr>
          <w:rFonts w:hint="eastAsia" w:ascii="宋体" w:hAnsi="宋体" w:cs="宋体"/>
          <w:sz w:val="24"/>
        </w:rPr>
        <w:t xml:space="preserve"> </w:t>
      </w:r>
    </w:p>
    <w:p w14:paraId="56DFBAF4">
      <w:pPr>
        <w:spacing w:line="360" w:lineRule="auto"/>
        <w:ind w:firstLine="2280" w:firstLineChars="950"/>
        <w:rPr>
          <w:rFonts w:ascii="宋体" w:hAnsi="宋体" w:cs="宋体"/>
          <w:sz w:val="24"/>
        </w:rPr>
      </w:pPr>
      <w:r>
        <w:rPr>
          <w:rFonts w:hint="eastAsia" w:ascii="宋体" w:hAnsi="宋体" w:cs="宋体"/>
          <w:sz w:val="24"/>
        </w:rPr>
        <w:t>（粘贴此处）</w:t>
      </w:r>
    </w:p>
    <w:p w14:paraId="4A8B4908">
      <w:pPr>
        <w:spacing w:line="360" w:lineRule="auto"/>
        <w:ind w:firstLine="2289" w:firstLineChars="950"/>
        <w:rPr>
          <w:rFonts w:ascii="宋体" w:hAnsi="宋体" w:cs="宋体"/>
          <w:b/>
          <w:bCs/>
          <w:sz w:val="24"/>
        </w:rPr>
      </w:pPr>
    </w:p>
    <w:p w14:paraId="55F54247">
      <w:pPr>
        <w:spacing w:line="360" w:lineRule="auto"/>
        <w:rPr>
          <w:rFonts w:ascii="宋体" w:hAnsi="宋体" w:cs="宋体"/>
          <w:sz w:val="24"/>
        </w:rPr>
      </w:pPr>
      <w:r>
        <w:rPr>
          <w:rFonts w:hint="eastAsia" w:ascii="宋体" w:hAnsi="宋体" w:cs="宋体"/>
          <w:b/>
          <w:bCs/>
          <w:sz w:val="24"/>
        </w:rPr>
        <w:t>注: 如为被授权人参加竞磋时，须将身份证原件带至磋商现场备查。</w:t>
      </w:r>
    </w:p>
    <w:p w14:paraId="39EE9296">
      <w:pPr>
        <w:snapToGrid w:val="0"/>
        <w:spacing w:line="360" w:lineRule="auto"/>
        <w:jc w:val="center"/>
        <w:outlineLvl w:val="4"/>
        <w:rPr>
          <w:rFonts w:ascii="宋体" w:hAnsi="宋体" w:cs="宋体"/>
          <w:b/>
          <w:bCs/>
          <w:sz w:val="24"/>
        </w:rPr>
      </w:pPr>
      <w:r>
        <w:rPr>
          <w:rFonts w:hint="eastAsia" w:ascii="宋体" w:hAnsi="宋体" w:cs="宋体"/>
          <w:b/>
          <w:bCs/>
          <w:sz w:val="24"/>
        </w:rPr>
        <w:br w:type="page"/>
      </w:r>
    </w:p>
    <w:p w14:paraId="55F4AC9F">
      <w:pPr>
        <w:snapToGrid w:val="0"/>
        <w:spacing w:line="360" w:lineRule="auto"/>
        <w:jc w:val="center"/>
        <w:rPr>
          <w:rFonts w:ascii="宋体" w:hAnsi="宋体" w:cs="宋体"/>
          <w:b/>
          <w:bCs/>
          <w:sz w:val="24"/>
        </w:rPr>
      </w:pPr>
      <w:r>
        <w:rPr>
          <w:rFonts w:hint="eastAsia" w:ascii="宋体" w:hAnsi="宋体" w:cs="宋体"/>
          <w:b/>
          <w:bCs/>
          <w:sz w:val="24"/>
        </w:rPr>
        <w:t>4、履行合同所必需的设备和专业技术能力承诺函</w:t>
      </w:r>
    </w:p>
    <w:p w14:paraId="6A92E6D0">
      <w:pPr>
        <w:snapToGrid w:val="0"/>
        <w:spacing w:line="360" w:lineRule="auto"/>
        <w:jc w:val="center"/>
        <w:rPr>
          <w:rFonts w:ascii="宋体" w:hAnsi="宋体" w:cs="宋体"/>
          <w:b/>
          <w:bCs/>
          <w:sz w:val="24"/>
        </w:rPr>
      </w:pPr>
    </w:p>
    <w:p w14:paraId="40371902">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18B39FB7">
      <w:pPr>
        <w:spacing w:line="360" w:lineRule="auto"/>
        <w:ind w:firstLine="560"/>
        <w:jc w:val="left"/>
        <w:rPr>
          <w:rFonts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（供应商名称）郑重承诺：</w:t>
      </w:r>
    </w:p>
    <w:p w14:paraId="51F44806">
      <w:pPr>
        <w:spacing w:line="360" w:lineRule="auto"/>
        <w:ind w:firstLine="560"/>
        <w:jc w:val="left"/>
        <w:rPr>
          <w:rFonts w:ascii="宋体" w:hAnsi="宋体" w:cs="宋体"/>
          <w:sz w:val="24"/>
        </w:rPr>
      </w:pPr>
      <w:r>
        <w:rPr>
          <w:rFonts w:hint="eastAsia" w:ascii="宋体" w:hAnsi="宋体" w:cs="宋体"/>
          <w:sz w:val="24"/>
        </w:rPr>
        <w:t>贵方组织的</w:t>
      </w:r>
      <w:r>
        <w:rPr>
          <w:rFonts w:hint="eastAsia" w:ascii="宋体" w:hAnsi="宋体" w:cs="宋体"/>
          <w:sz w:val="24"/>
          <w:u w:val="single"/>
        </w:rPr>
        <w:t xml:space="preserve">               </w:t>
      </w:r>
      <w:r>
        <w:rPr>
          <w:rFonts w:hint="eastAsia" w:ascii="宋体" w:hAnsi="宋体" w:cs="宋体"/>
          <w:sz w:val="24"/>
        </w:rPr>
        <w:t>(竞争性磋商项目名称），</w:t>
      </w:r>
      <w:r>
        <w:rPr>
          <w:rFonts w:hint="eastAsia" w:ascii="宋体" w:hAnsi="宋体" w:cs="宋体"/>
          <w:sz w:val="24"/>
          <w:u w:val="single"/>
        </w:rPr>
        <w:t xml:space="preserve">               (项目编号）</w:t>
      </w: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(在下划线上如实填写：有或没有）履行合同所必需的设备和专业技术能力。</w:t>
      </w:r>
    </w:p>
    <w:p w14:paraId="0F4C1586">
      <w:pPr>
        <w:spacing w:line="360" w:lineRule="auto"/>
        <w:ind w:firstLine="560"/>
        <w:jc w:val="left"/>
        <w:rPr>
          <w:rFonts w:ascii="宋体" w:hAnsi="宋体" w:cs="宋体"/>
          <w:sz w:val="24"/>
        </w:rPr>
      </w:pPr>
    </w:p>
    <w:p w14:paraId="77B87C58">
      <w:pPr>
        <w:spacing w:line="360" w:lineRule="auto"/>
        <w:ind w:firstLine="560"/>
        <w:jc w:val="left"/>
        <w:rPr>
          <w:rFonts w:ascii="宋体" w:hAnsi="宋体" w:cs="宋体"/>
          <w:sz w:val="24"/>
        </w:rPr>
      </w:pPr>
    </w:p>
    <w:p w14:paraId="28BB1D26">
      <w:pPr>
        <w:snapToGrid w:val="0"/>
        <w:spacing w:line="460" w:lineRule="exact"/>
        <w:jc w:val="right"/>
        <w:rPr>
          <w:rFonts w:ascii="宋体" w:hAnsi="宋体"/>
          <w:bCs/>
          <w:sz w:val="24"/>
        </w:rPr>
      </w:pPr>
      <w:r>
        <w:rPr>
          <w:rFonts w:hint="eastAsia" w:ascii="宋体" w:hAnsi="宋体"/>
          <w:bCs/>
          <w:sz w:val="24"/>
        </w:rPr>
        <w:t>法定代表人或被授权人（签字或盖章）：</w:t>
      </w:r>
    </w:p>
    <w:p w14:paraId="5CE843D0">
      <w:pPr>
        <w:snapToGrid w:val="0"/>
        <w:spacing w:line="460" w:lineRule="exact"/>
        <w:jc w:val="right"/>
        <w:rPr>
          <w:rFonts w:ascii="宋体" w:hAnsi="宋体"/>
          <w:bCs/>
          <w:sz w:val="24"/>
        </w:rPr>
      </w:pPr>
    </w:p>
    <w:p w14:paraId="60C1F35A">
      <w:pPr>
        <w:snapToGrid w:val="0"/>
        <w:spacing w:line="460" w:lineRule="exact"/>
        <w:jc w:val="right"/>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（供应商）公章：</w:t>
      </w:r>
    </w:p>
    <w:p w14:paraId="234FF34D">
      <w:pPr>
        <w:snapToGrid w:val="0"/>
        <w:spacing w:line="460" w:lineRule="exact"/>
        <w:jc w:val="right"/>
        <w:rPr>
          <w:rFonts w:ascii="宋体" w:hAnsi="宋体"/>
          <w:bCs/>
          <w:sz w:val="24"/>
        </w:rPr>
      </w:pPr>
    </w:p>
    <w:p w14:paraId="184C4C6A">
      <w:pPr>
        <w:wordWrap w:val="0"/>
        <w:snapToGrid w:val="0"/>
        <w:spacing w:line="460" w:lineRule="exact"/>
        <w:jc w:val="right"/>
        <w:rPr>
          <w:rFonts w:ascii="宋体" w:hAnsi="宋体"/>
          <w:bCs/>
          <w:sz w:val="24"/>
        </w:rPr>
      </w:pPr>
      <w:r>
        <w:rPr>
          <w:rFonts w:hint="eastAsia" w:ascii="宋体" w:hAnsi="宋体"/>
          <w:bCs/>
          <w:sz w:val="24"/>
        </w:rPr>
        <w:t>年</w:t>
      </w:r>
      <w:r>
        <w:rPr>
          <w:rFonts w:hint="eastAsia" w:ascii="宋体" w:hAnsi="宋体"/>
          <w:bCs/>
          <w:sz w:val="24"/>
        </w:rPr>
        <w:tab/>
      </w:r>
      <w:r>
        <w:rPr>
          <w:rFonts w:hint="eastAsia" w:ascii="宋体" w:hAnsi="宋体"/>
          <w:bCs/>
          <w:sz w:val="24"/>
        </w:rPr>
        <w:t xml:space="preserve">   月 </w:t>
      </w:r>
      <w:r>
        <w:rPr>
          <w:rFonts w:hint="eastAsia" w:ascii="宋体" w:hAnsi="宋体"/>
          <w:bCs/>
          <w:sz w:val="24"/>
        </w:rPr>
        <w:tab/>
      </w:r>
      <w:r>
        <w:rPr>
          <w:rFonts w:ascii="宋体" w:hAnsi="宋体"/>
          <w:bCs/>
          <w:sz w:val="24"/>
        </w:rPr>
        <w:t xml:space="preserve">  </w:t>
      </w:r>
      <w:r>
        <w:rPr>
          <w:rFonts w:hint="eastAsia" w:ascii="宋体" w:hAnsi="宋体"/>
          <w:bCs/>
          <w:sz w:val="24"/>
        </w:rPr>
        <w:t>日</w:t>
      </w:r>
    </w:p>
    <w:p w14:paraId="443140A7">
      <w:pPr>
        <w:snapToGrid w:val="0"/>
        <w:spacing w:line="360" w:lineRule="auto"/>
        <w:jc w:val="center"/>
        <w:outlineLvl w:val="4"/>
        <w:rPr>
          <w:rFonts w:ascii="宋体" w:hAnsi="宋体" w:cs="宋体"/>
          <w:b/>
          <w:bCs/>
          <w:sz w:val="24"/>
        </w:rPr>
      </w:pPr>
      <w:r>
        <w:rPr>
          <w:rFonts w:ascii="宋体" w:hAnsi="宋体" w:cs="宋体"/>
          <w:b/>
          <w:bCs/>
          <w:sz w:val="24"/>
        </w:rPr>
        <w:br w:type="page"/>
      </w:r>
      <w:r>
        <w:rPr>
          <w:rFonts w:hint="eastAsia" w:ascii="宋体" w:hAnsi="宋体" w:cs="宋体"/>
          <w:b/>
          <w:bCs/>
          <w:sz w:val="24"/>
        </w:rPr>
        <w:t>5、 参加政府采购活动前 3 年内在经营活动中没有重大违法记录和失信记录的书面声明</w:t>
      </w:r>
    </w:p>
    <w:p w14:paraId="66D8D89C">
      <w:pPr>
        <w:spacing w:line="460" w:lineRule="exact"/>
        <w:rPr>
          <w:rFonts w:ascii="宋体" w:hAnsi="宋体"/>
          <w:b/>
          <w:bCs/>
          <w:sz w:val="44"/>
          <w:szCs w:val="44"/>
        </w:rPr>
      </w:pPr>
      <w:r>
        <w:rPr>
          <w:rFonts w:hint="eastAsia" w:ascii="宋体" w:hAnsi="宋体"/>
          <w:b/>
          <w:bCs/>
          <w:sz w:val="24"/>
          <w:szCs w:val="21"/>
        </w:rPr>
        <w:t xml:space="preserve">                       </w:t>
      </w:r>
      <w:r>
        <w:rPr>
          <w:rFonts w:hint="eastAsia" w:ascii="宋体" w:hAnsi="宋体"/>
          <w:b/>
          <w:bCs/>
          <w:sz w:val="44"/>
          <w:szCs w:val="44"/>
        </w:rPr>
        <w:t xml:space="preserve">  </w:t>
      </w:r>
    </w:p>
    <w:p w14:paraId="3EC7B013">
      <w:pPr>
        <w:spacing w:line="500" w:lineRule="exact"/>
        <w:ind w:firstLine="482"/>
        <w:rPr>
          <w:bCs/>
          <w:sz w:val="24"/>
          <w:szCs w:val="21"/>
        </w:rPr>
      </w:pPr>
      <w:r>
        <w:rPr>
          <w:bCs/>
          <w:sz w:val="24"/>
          <w:szCs w:val="21"/>
        </w:rPr>
        <w:t>我公司郑重声明：参加本次政府采购活动前 3 年内，我公司在经营活动中</w:t>
      </w:r>
    </w:p>
    <w:p w14:paraId="71F146F7">
      <w:pPr>
        <w:spacing w:line="500" w:lineRule="exact"/>
        <w:jc w:val="left"/>
        <w:rPr>
          <w:bCs/>
          <w:sz w:val="24"/>
          <w:szCs w:val="21"/>
        </w:rPr>
      </w:pPr>
      <w:r>
        <w:rPr>
          <w:rFonts w:hint="eastAsia" w:ascii="宋体" w:hAnsi="宋体" w:cs="宋体"/>
          <w:sz w:val="24"/>
          <w:u w:val="single"/>
        </w:rPr>
        <w:t xml:space="preserve">       </w:t>
      </w:r>
      <w:r>
        <w:rPr>
          <w:rFonts w:hint="eastAsia" w:ascii="宋体" w:hAnsi="宋体" w:cs="宋体"/>
          <w:sz w:val="24"/>
        </w:rPr>
        <w:t>(在下划线上如实填写：有或没有）</w:t>
      </w:r>
      <w:r>
        <w:rPr>
          <w:bCs/>
          <w:sz w:val="24"/>
          <w:szCs w:val="21"/>
        </w:rPr>
        <w:t>因违法经营受到刑事处罚或者责令停产停业、吊销许可证或者执照、较大数额罚款等行政处罚。</w:t>
      </w:r>
    </w:p>
    <w:p w14:paraId="6FD0E1A7">
      <w:pPr>
        <w:spacing w:line="500" w:lineRule="exact"/>
        <w:ind w:firstLine="482"/>
        <w:rPr>
          <w:rFonts w:ascii="宋体" w:hAnsi="宋体"/>
          <w:bCs/>
          <w:sz w:val="24"/>
          <w:szCs w:val="21"/>
        </w:rPr>
      </w:pPr>
      <w:r>
        <w:rPr>
          <w:rFonts w:hint="eastAsia" w:ascii="宋体" w:hAnsi="宋体"/>
          <w:bCs/>
          <w:sz w:val="24"/>
          <w:szCs w:val="21"/>
        </w:rPr>
        <w:t>在</w:t>
      </w:r>
      <w:r>
        <w:rPr>
          <w:rFonts w:hint="eastAsia" w:ascii="宋体" w:hAnsi="宋体"/>
          <w:sz w:val="24"/>
        </w:rPr>
        <w:t>响应截止时间节点，</w:t>
      </w:r>
      <w:r>
        <w:rPr>
          <w:rFonts w:hint="eastAsia" w:ascii="宋体" w:hAnsi="宋体" w:cs="宋体"/>
          <w:sz w:val="24"/>
          <w:u w:val="single"/>
        </w:rPr>
        <w:t xml:space="preserve">       </w:t>
      </w:r>
      <w:r>
        <w:rPr>
          <w:rFonts w:hint="eastAsia" w:ascii="宋体" w:hAnsi="宋体" w:cs="宋体"/>
          <w:sz w:val="24"/>
        </w:rPr>
        <w:t>(在下划线上如实填写：有或没有）</w:t>
      </w:r>
      <w:r>
        <w:rPr>
          <w:rFonts w:hint="eastAsia" w:ascii="宋体" w:hAnsi="宋体"/>
          <w:sz w:val="24"/>
        </w:rPr>
        <w:t>被“信用中国”</w:t>
      </w:r>
      <w:r>
        <w:rPr>
          <w:sz w:val="24"/>
        </w:rPr>
        <w:t>（www.creditchina.gov.cn）</w:t>
      </w:r>
      <w:r>
        <w:rPr>
          <w:rFonts w:hint="eastAsia" w:ascii="宋体" w:hAnsi="宋体"/>
          <w:sz w:val="24"/>
        </w:rPr>
        <w:t>、“中国政府采购网”</w:t>
      </w:r>
      <w:r>
        <w:rPr>
          <w:rFonts w:hint="eastAsia"/>
          <w:sz w:val="24"/>
        </w:rPr>
        <w:t>（</w:t>
      </w:r>
      <w:r>
        <w:rPr>
          <w:sz w:val="24"/>
        </w:rPr>
        <w:t>www.ccgp.gov.cn</w:t>
      </w:r>
      <w:r>
        <w:rPr>
          <w:rFonts w:hint="eastAsia"/>
          <w:sz w:val="24"/>
        </w:rPr>
        <w:t>）</w:t>
      </w:r>
      <w:r>
        <w:rPr>
          <w:rFonts w:hint="eastAsia" w:ascii="宋体" w:hAnsi="宋体"/>
          <w:sz w:val="24"/>
        </w:rPr>
        <w:t>、“信用江苏”</w:t>
      </w:r>
      <w:r>
        <w:rPr>
          <w:rFonts w:hint="eastAsia"/>
          <w:sz w:val="24"/>
        </w:rPr>
        <w:t>（</w:t>
      </w:r>
      <w:r>
        <w:rPr>
          <w:sz w:val="24"/>
        </w:rPr>
        <w:t>www.jscredit.cn/index.htm</w:t>
      </w:r>
      <w:r>
        <w:rPr>
          <w:rFonts w:hint="eastAsia"/>
          <w:sz w:val="24"/>
        </w:rPr>
        <w:t>）</w:t>
      </w:r>
      <w:r>
        <w:rPr>
          <w:rFonts w:hint="eastAsia" w:ascii="宋体" w:hAnsi="宋体"/>
          <w:sz w:val="24"/>
        </w:rPr>
        <w:t>网站列入失信被执行人、重大税收违法案件当事人名单、政府采购严重违法失信行为记录名单。</w:t>
      </w:r>
    </w:p>
    <w:p w14:paraId="2803DECF">
      <w:pPr>
        <w:spacing w:line="560" w:lineRule="exact"/>
        <w:rPr>
          <w:rFonts w:ascii="宋体" w:hAnsi="宋体" w:cs="宋体"/>
          <w:sz w:val="24"/>
        </w:rPr>
      </w:pPr>
    </w:p>
    <w:p w14:paraId="1614BB13">
      <w:pPr>
        <w:spacing w:line="360" w:lineRule="auto"/>
        <w:ind w:firstLine="480" w:firstLineChars="200"/>
        <w:jc w:val="right"/>
        <w:rPr>
          <w:rFonts w:ascii="宋体" w:hAnsi="宋体" w:cs="宋体"/>
          <w:sz w:val="24"/>
        </w:rPr>
      </w:pPr>
      <w:r>
        <w:rPr>
          <w:rFonts w:hint="eastAsia" w:ascii="宋体" w:hAnsi="宋体" w:cs="宋体"/>
          <w:sz w:val="24"/>
        </w:rPr>
        <w:t xml:space="preserve">                                  </w:t>
      </w:r>
    </w:p>
    <w:p w14:paraId="0C3419FD">
      <w:pPr>
        <w:spacing w:line="360" w:lineRule="auto"/>
        <w:ind w:firstLine="480" w:firstLineChars="200"/>
        <w:jc w:val="right"/>
        <w:rPr>
          <w:rFonts w:ascii="宋体" w:hAnsi="宋体" w:cs="宋体"/>
          <w:sz w:val="24"/>
        </w:rPr>
      </w:pPr>
    </w:p>
    <w:p w14:paraId="68C08F4F">
      <w:pPr>
        <w:spacing w:line="360" w:lineRule="auto"/>
        <w:ind w:firstLine="480" w:firstLineChars="200"/>
        <w:jc w:val="right"/>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（加盖公章）</w:t>
      </w:r>
    </w:p>
    <w:p w14:paraId="3638B2D8">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68801AB6">
      <w:pPr>
        <w:spacing w:line="360" w:lineRule="auto"/>
        <w:ind w:firstLine="1320" w:firstLineChars="550"/>
        <w:jc w:val="right"/>
        <w:rPr>
          <w:rFonts w:ascii="宋体" w:hAnsi="宋体" w:cs="宋体"/>
          <w:sz w:val="24"/>
        </w:rPr>
      </w:pPr>
      <w:r>
        <w:rPr>
          <w:rFonts w:hint="eastAsia" w:ascii="宋体" w:hAnsi="宋体" w:cs="宋体"/>
          <w:sz w:val="24"/>
        </w:rPr>
        <w:t>年      月     日</w:t>
      </w:r>
    </w:p>
    <w:p w14:paraId="7C16909B">
      <w:pPr>
        <w:spacing w:line="360" w:lineRule="auto"/>
        <w:jc w:val="left"/>
        <w:rPr>
          <w:rFonts w:ascii="宋体" w:hAnsi="宋体" w:cs="宋体"/>
          <w:b/>
          <w:bCs/>
          <w:sz w:val="24"/>
        </w:rPr>
      </w:pPr>
      <w:r>
        <w:rPr>
          <w:rFonts w:ascii="宋体" w:hAnsi="宋体" w:cs="宋体"/>
          <w:sz w:val="24"/>
        </w:rPr>
        <w:br w:type="page"/>
      </w:r>
      <w:r>
        <w:rPr>
          <w:rFonts w:hint="eastAsia" w:ascii="宋体" w:hAnsi="宋体" w:cs="宋体"/>
          <w:b/>
          <w:bCs/>
          <w:sz w:val="24"/>
        </w:rPr>
        <w:t>二、商务技术标相关的格式文件及表格</w:t>
      </w:r>
    </w:p>
    <w:p w14:paraId="045B40CA">
      <w:pPr>
        <w:spacing w:line="360" w:lineRule="auto"/>
        <w:jc w:val="center"/>
        <w:rPr>
          <w:rFonts w:ascii="宋体" w:hAnsi="宋体" w:cs="宋体"/>
          <w:b/>
          <w:bCs/>
          <w:sz w:val="24"/>
        </w:rPr>
      </w:pPr>
      <w:r>
        <w:rPr>
          <w:rFonts w:hint="eastAsia" w:ascii="宋体" w:hAnsi="宋体" w:cs="宋体"/>
          <w:b/>
          <w:sz w:val="24"/>
        </w:rPr>
        <w:t>1</w:t>
      </w:r>
      <w:r>
        <w:rPr>
          <w:rFonts w:hint="eastAsia" w:ascii="宋体" w:hAnsi="宋体" w:cs="宋体"/>
          <w:b/>
          <w:bCs/>
          <w:sz w:val="24"/>
        </w:rPr>
        <w:t>、竞争性磋商响应函</w:t>
      </w:r>
    </w:p>
    <w:p w14:paraId="32D497FB">
      <w:pPr>
        <w:spacing w:line="360" w:lineRule="auto"/>
        <w:rPr>
          <w:rFonts w:ascii="宋体" w:hAnsi="宋体" w:cs="宋体"/>
          <w:sz w:val="24"/>
        </w:rPr>
      </w:pPr>
      <w:r>
        <w:rPr>
          <w:rFonts w:hint="eastAsia" w:ascii="宋体" w:hAnsi="宋体" w:cs="宋体"/>
          <w:sz w:val="24"/>
          <w:u w:val="single"/>
        </w:rPr>
        <w:t>致    （采购人）    ：</w:t>
      </w:r>
    </w:p>
    <w:p w14:paraId="0F32DF99">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根据贵方的</w:t>
      </w:r>
      <w:r>
        <w:rPr>
          <w:rFonts w:ascii="Times New Roman" w:hAnsi="Times New Roman" w:cs="Times New Roman"/>
          <w:u w:val="single"/>
        </w:rPr>
        <w:t xml:space="preserve">        </w:t>
      </w:r>
      <w:r>
        <w:rPr>
          <w:rFonts w:hint="eastAsia" w:ascii="Times New Roman" w:hAnsi="Times New Roman" w:cs="Times New Roman"/>
          <w:u w:val="single"/>
        </w:rPr>
        <w:t>（竞争性磋商项目名称和项目编号）</w:t>
      </w:r>
      <w:r>
        <w:rPr>
          <w:rFonts w:ascii="Times New Roman" w:hAnsi="Times New Roman" w:cs="Times New Roman"/>
        </w:rPr>
        <w:t>磋商文件，正式授权下述签字人</w:t>
      </w:r>
      <w:r>
        <w:rPr>
          <w:rFonts w:ascii="Times New Roman" w:hAnsi="Times New Roman" w:cs="Times New Roman"/>
          <w:u w:val="single"/>
        </w:rPr>
        <w:t xml:space="preserve">         (姓名和职务)</w:t>
      </w:r>
      <w:r>
        <w:rPr>
          <w:rFonts w:ascii="Times New Roman" w:hAnsi="Times New Roman" w:cs="Times New Roman"/>
        </w:rPr>
        <w:t>代表我方</w:t>
      </w:r>
      <w:r>
        <w:rPr>
          <w:rFonts w:ascii="Times New Roman" w:hAnsi="Times New Roman" w:cs="Times New Roman"/>
          <w:u w:val="single"/>
        </w:rPr>
        <w:t xml:space="preserve">         （供应商的名称）</w:t>
      </w:r>
      <w:r>
        <w:rPr>
          <w:rFonts w:ascii="Times New Roman" w:hAnsi="Times New Roman" w:cs="Times New Roman"/>
        </w:rPr>
        <w:t>，全权处理本次项目磋商采购的有关事宜。</w:t>
      </w:r>
    </w:p>
    <w:p w14:paraId="349038DC">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据此函，</w:t>
      </w:r>
      <w:r>
        <w:rPr>
          <w:rFonts w:ascii="Times New Roman" w:hAnsi="Times New Roman" w:cs="Times New Roman"/>
          <w:u w:val="single"/>
        </w:rPr>
        <w:t xml:space="preserve">       （签字人</w:t>
      </w:r>
      <w:r>
        <w:rPr>
          <w:rFonts w:hint="eastAsia" w:ascii="Times New Roman" w:hAnsi="Times New Roman" w:cs="Times New Roman"/>
          <w:u w:val="single"/>
        </w:rPr>
        <w:t>姓名</w:t>
      </w:r>
      <w:r>
        <w:rPr>
          <w:rFonts w:ascii="Times New Roman" w:hAnsi="Times New Roman" w:cs="Times New Roman"/>
          <w:u w:val="single"/>
        </w:rPr>
        <w:t>）</w:t>
      </w:r>
      <w:r>
        <w:rPr>
          <w:rFonts w:ascii="Times New Roman" w:hAnsi="Times New Roman" w:cs="Times New Roman"/>
        </w:rPr>
        <w:t>兹宣布同意如下：</w:t>
      </w:r>
    </w:p>
    <w:p w14:paraId="33789E75">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1.按磋商文件规定的各项要求，向买方提供所需货物、服务。</w:t>
      </w:r>
    </w:p>
    <w:p w14:paraId="295F08FF">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2.我们已详细审核全部磋商文件及其有效补充文件，我们知道必须放弃提出含糊不清或误解问题的权利。</w:t>
      </w:r>
    </w:p>
    <w:p w14:paraId="2410BB8D">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3.我们同意从规定的响应文件接收截止时间起遵循本响应文件，并在规定的磋商、有效期期满之前均具有约束力。</w:t>
      </w:r>
    </w:p>
    <w:p w14:paraId="4E4B1107">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4.同意向贵方提供贵方可能另外要求的与磋商采购有关的任何证据或资料，并保证我方已提供和将要提供的文件是真实的、准确的。</w:t>
      </w:r>
    </w:p>
    <w:p w14:paraId="2C17E839">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5.一旦我方成交，我方将根据磋商文件的规定，严格履行合同的责任和义务，并保证在磋商文件规定的时间完成项目，交付买方验收、使用。</w:t>
      </w:r>
    </w:p>
    <w:p w14:paraId="7D3C2AFD">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6.遵守磋商文件中要求的收费项目和标准。</w:t>
      </w:r>
    </w:p>
    <w:p w14:paraId="3F104502">
      <w:pPr>
        <w:pStyle w:val="31"/>
        <w:shd w:val="clear" w:color="auto" w:fill="FFFFFF"/>
        <w:wordWrap w:val="0"/>
        <w:spacing w:before="0" w:beforeAutospacing="0" w:after="0" w:afterAutospacing="0" w:line="480" w:lineRule="exact"/>
        <w:ind w:firstLine="480" w:firstLineChars="200"/>
        <w:rPr>
          <w:rFonts w:ascii="Times New Roman" w:hAnsi="Times New Roman" w:cs="Times New Roman"/>
        </w:rPr>
      </w:pPr>
      <w:r>
        <w:rPr>
          <w:rFonts w:ascii="Times New Roman" w:hAnsi="Times New Roman" w:cs="Times New Roman"/>
        </w:rPr>
        <w:t>7.与本磋商采购有关的正式通讯地址为：</w:t>
      </w:r>
    </w:p>
    <w:p w14:paraId="6D41BDA8">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地址</w:t>
      </w:r>
      <w:r>
        <w:rPr>
          <w:rFonts w:hint="eastAsia" w:ascii="宋体" w:hAnsi="宋体" w:cs="Tahoma"/>
          <w:kern w:val="0"/>
          <w:sz w:val="24"/>
          <w:u w:val="single"/>
        </w:rPr>
        <w:t xml:space="preserve">：            </w:t>
      </w:r>
    </w:p>
    <w:p w14:paraId="17E1B7E6">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邮编</w:t>
      </w:r>
      <w:r>
        <w:rPr>
          <w:rFonts w:hint="eastAsia" w:ascii="宋体" w:hAnsi="宋体" w:cs="Tahoma"/>
          <w:kern w:val="0"/>
          <w:sz w:val="24"/>
          <w:u w:val="single"/>
        </w:rPr>
        <w:t xml:space="preserve">：            </w:t>
      </w:r>
    </w:p>
    <w:p w14:paraId="5271A0B9">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电话</w:t>
      </w:r>
      <w:r>
        <w:rPr>
          <w:rFonts w:hint="eastAsia" w:ascii="宋体" w:hAnsi="宋体" w:cs="Tahoma"/>
          <w:kern w:val="0"/>
          <w:sz w:val="24"/>
          <w:u w:val="single"/>
        </w:rPr>
        <w:t xml:space="preserve">：            </w:t>
      </w:r>
      <w:r>
        <w:rPr>
          <w:rFonts w:hint="eastAsia" w:ascii="宋体" w:hAnsi="宋体" w:cs="Tahoma"/>
          <w:kern w:val="0"/>
          <w:sz w:val="24"/>
        </w:rPr>
        <w:t xml:space="preserve"> </w:t>
      </w:r>
    </w:p>
    <w:p w14:paraId="6B02D9C4">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传真</w:t>
      </w:r>
      <w:r>
        <w:rPr>
          <w:rFonts w:hint="eastAsia" w:ascii="宋体" w:hAnsi="宋体" w:cs="Tahoma"/>
          <w:kern w:val="0"/>
          <w:sz w:val="24"/>
          <w:u w:val="single"/>
        </w:rPr>
        <w:t xml:space="preserve">：            </w:t>
      </w:r>
      <w:r>
        <w:rPr>
          <w:rFonts w:hint="eastAsia" w:ascii="宋体" w:hAnsi="宋体" w:cs="Tahoma"/>
          <w:kern w:val="0"/>
          <w:sz w:val="24"/>
        </w:rPr>
        <w:t xml:space="preserve"> </w:t>
      </w:r>
    </w:p>
    <w:p w14:paraId="7B456997">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供应商开户行</w:t>
      </w:r>
      <w:r>
        <w:rPr>
          <w:rFonts w:hint="eastAsia" w:ascii="宋体" w:hAnsi="宋体" w:cs="Tahoma"/>
          <w:kern w:val="0"/>
          <w:sz w:val="24"/>
          <w:u w:val="single"/>
        </w:rPr>
        <w:t xml:space="preserve">：            </w:t>
      </w:r>
      <w:r>
        <w:rPr>
          <w:rFonts w:hint="eastAsia" w:ascii="宋体" w:hAnsi="宋体" w:cs="Tahoma"/>
          <w:kern w:val="0"/>
          <w:sz w:val="24"/>
        </w:rPr>
        <w:t xml:space="preserve"> </w:t>
      </w:r>
    </w:p>
    <w:p w14:paraId="776B1C69">
      <w:pPr>
        <w:widowControl/>
        <w:shd w:val="clear" w:color="auto" w:fill="FFFFFF"/>
        <w:wordWrap w:val="0"/>
        <w:spacing w:line="480" w:lineRule="exact"/>
        <w:ind w:firstLine="480" w:firstLineChars="200"/>
        <w:jc w:val="left"/>
        <w:rPr>
          <w:rFonts w:ascii="宋体" w:hAnsi="宋体" w:cs="Tahoma"/>
          <w:kern w:val="0"/>
          <w:sz w:val="24"/>
        </w:rPr>
      </w:pPr>
      <w:r>
        <w:rPr>
          <w:rFonts w:hint="eastAsia" w:ascii="宋体" w:hAnsi="宋体" w:cs="Tahoma"/>
          <w:kern w:val="0"/>
          <w:sz w:val="24"/>
        </w:rPr>
        <w:t>账户</w:t>
      </w:r>
      <w:r>
        <w:rPr>
          <w:rFonts w:hint="eastAsia" w:ascii="宋体" w:hAnsi="宋体" w:cs="Tahoma"/>
          <w:kern w:val="0"/>
          <w:sz w:val="24"/>
          <w:u w:val="single"/>
        </w:rPr>
        <w:t xml:space="preserve">：            </w:t>
      </w:r>
      <w:r>
        <w:rPr>
          <w:rFonts w:hint="eastAsia" w:ascii="宋体" w:hAnsi="宋体" w:cs="Tahoma"/>
          <w:kern w:val="0"/>
          <w:sz w:val="24"/>
        </w:rPr>
        <w:t xml:space="preserve"> </w:t>
      </w:r>
    </w:p>
    <w:p w14:paraId="41ECF590">
      <w:pPr>
        <w:widowControl/>
        <w:shd w:val="clear" w:color="auto" w:fill="FFFFFF"/>
        <w:wordWrap w:val="0"/>
        <w:spacing w:line="480" w:lineRule="exact"/>
        <w:jc w:val="left"/>
        <w:rPr>
          <w:rFonts w:ascii="宋体" w:hAnsi="宋体" w:cs="Tahoma"/>
          <w:kern w:val="0"/>
          <w:sz w:val="24"/>
        </w:rPr>
      </w:pPr>
    </w:p>
    <w:p w14:paraId="3DBDDD44">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供应商：（盖章）             </w:t>
      </w:r>
    </w:p>
    <w:p w14:paraId="7F3853A0">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14:paraId="047576C4">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14:paraId="4BAFC48E">
      <w:pPr>
        <w:spacing w:line="360" w:lineRule="auto"/>
        <w:jc w:val="center"/>
        <w:rPr>
          <w:rFonts w:ascii="宋体" w:hAnsi="宋体" w:cs="宋体"/>
          <w:b/>
          <w:sz w:val="24"/>
        </w:rPr>
      </w:pPr>
      <w:r>
        <w:rPr>
          <w:rFonts w:ascii="宋体" w:hAnsi="宋体" w:cs="宋体"/>
          <w:b/>
          <w:bCs/>
          <w:sz w:val="24"/>
        </w:rPr>
        <w:br w:type="page"/>
      </w:r>
      <w:r>
        <w:rPr>
          <w:rFonts w:hint="eastAsia" w:ascii="宋体" w:hAnsi="宋体" w:cs="宋体"/>
          <w:b/>
          <w:bCs/>
          <w:sz w:val="24"/>
        </w:rPr>
        <w:t>2、</w:t>
      </w:r>
      <w:r>
        <w:rPr>
          <w:rFonts w:hint="eastAsia" w:ascii="宋体" w:hAnsi="宋体" w:cs="宋体"/>
          <w:b/>
          <w:sz w:val="24"/>
        </w:rPr>
        <w:t>技术部分正负偏离表</w:t>
      </w:r>
    </w:p>
    <w:p w14:paraId="380F1448">
      <w:pPr>
        <w:rPr>
          <w:rFonts w:ascii="宋体" w:hAnsi="宋体"/>
          <w:sz w:val="24"/>
        </w:rPr>
      </w:pPr>
    </w:p>
    <w:tbl>
      <w:tblPr>
        <w:tblStyle w:val="3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7"/>
        <w:gridCol w:w="1174"/>
      </w:tblGrid>
      <w:tr w14:paraId="1148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4A8A2BF6">
            <w:pPr>
              <w:jc w:val="center"/>
              <w:rPr>
                <w:rFonts w:ascii="宋体" w:hAnsi="宋体"/>
                <w:sz w:val="24"/>
              </w:rPr>
            </w:pPr>
            <w:r>
              <w:rPr>
                <w:rFonts w:hint="eastAsia" w:ascii="宋体" w:hAnsi="宋体"/>
                <w:sz w:val="24"/>
              </w:rPr>
              <w:t>序号</w:t>
            </w:r>
          </w:p>
        </w:tc>
        <w:tc>
          <w:tcPr>
            <w:tcW w:w="2852" w:type="dxa"/>
            <w:vAlign w:val="center"/>
          </w:tcPr>
          <w:p w14:paraId="2E6DAD77">
            <w:pPr>
              <w:jc w:val="center"/>
              <w:rPr>
                <w:rFonts w:ascii="宋体" w:hAnsi="宋体"/>
                <w:sz w:val="24"/>
              </w:rPr>
            </w:pPr>
            <w:r>
              <w:rPr>
                <w:rFonts w:hint="eastAsia" w:ascii="宋体" w:hAnsi="宋体"/>
                <w:sz w:val="24"/>
              </w:rPr>
              <w:t>磋商要求</w:t>
            </w:r>
          </w:p>
        </w:tc>
        <w:tc>
          <w:tcPr>
            <w:tcW w:w="2852" w:type="dxa"/>
            <w:vAlign w:val="center"/>
          </w:tcPr>
          <w:p w14:paraId="38522209">
            <w:pPr>
              <w:jc w:val="center"/>
              <w:rPr>
                <w:rFonts w:ascii="宋体" w:hAnsi="宋体"/>
                <w:sz w:val="24"/>
              </w:rPr>
            </w:pPr>
            <w:r>
              <w:rPr>
                <w:rFonts w:hint="eastAsia" w:ascii="宋体" w:hAnsi="宋体"/>
                <w:sz w:val="24"/>
              </w:rPr>
              <w:t>磋商响应</w:t>
            </w:r>
          </w:p>
        </w:tc>
        <w:tc>
          <w:tcPr>
            <w:tcW w:w="1307" w:type="dxa"/>
            <w:vAlign w:val="center"/>
          </w:tcPr>
          <w:p w14:paraId="1F0CB291">
            <w:pPr>
              <w:jc w:val="center"/>
              <w:rPr>
                <w:rFonts w:ascii="宋体" w:hAnsi="宋体"/>
                <w:sz w:val="24"/>
              </w:rPr>
            </w:pPr>
            <w:r>
              <w:rPr>
                <w:rFonts w:hint="eastAsia" w:ascii="宋体" w:hAnsi="宋体"/>
                <w:sz w:val="24"/>
              </w:rPr>
              <w:t>超出、符合或偏离</w:t>
            </w:r>
          </w:p>
        </w:tc>
        <w:tc>
          <w:tcPr>
            <w:tcW w:w="1174" w:type="dxa"/>
            <w:vAlign w:val="center"/>
          </w:tcPr>
          <w:p w14:paraId="10CD9641">
            <w:pPr>
              <w:jc w:val="center"/>
              <w:rPr>
                <w:rFonts w:ascii="宋体" w:hAnsi="宋体"/>
                <w:sz w:val="24"/>
              </w:rPr>
            </w:pPr>
            <w:r>
              <w:rPr>
                <w:rFonts w:hint="eastAsia" w:ascii="宋体" w:hAnsi="宋体"/>
                <w:sz w:val="24"/>
              </w:rPr>
              <w:t>原因</w:t>
            </w:r>
          </w:p>
        </w:tc>
      </w:tr>
      <w:tr w14:paraId="36A4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E1C0526">
            <w:pPr>
              <w:jc w:val="center"/>
              <w:rPr>
                <w:rFonts w:ascii="宋体" w:hAnsi="宋体"/>
                <w:sz w:val="24"/>
              </w:rPr>
            </w:pPr>
          </w:p>
        </w:tc>
        <w:tc>
          <w:tcPr>
            <w:tcW w:w="2852" w:type="dxa"/>
          </w:tcPr>
          <w:p w14:paraId="0AEDF460">
            <w:pPr>
              <w:jc w:val="center"/>
              <w:rPr>
                <w:rFonts w:ascii="宋体" w:hAnsi="宋体"/>
                <w:sz w:val="24"/>
              </w:rPr>
            </w:pPr>
          </w:p>
        </w:tc>
        <w:tc>
          <w:tcPr>
            <w:tcW w:w="2852" w:type="dxa"/>
          </w:tcPr>
          <w:p w14:paraId="142FC64B">
            <w:pPr>
              <w:jc w:val="center"/>
              <w:rPr>
                <w:rFonts w:ascii="宋体" w:hAnsi="宋体"/>
                <w:sz w:val="24"/>
              </w:rPr>
            </w:pPr>
          </w:p>
        </w:tc>
        <w:tc>
          <w:tcPr>
            <w:tcW w:w="1307" w:type="dxa"/>
          </w:tcPr>
          <w:p w14:paraId="2D38C8D4">
            <w:pPr>
              <w:jc w:val="center"/>
              <w:rPr>
                <w:rFonts w:ascii="宋体" w:hAnsi="宋体"/>
                <w:sz w:val="24"/>
              </w:rPr>
            </w:pPr>
          </w:p>
        </w:tc>
        <w:tc>
          <w:tcPr>
            <w:tcW w:w="1174" w:type="dxa"/>
          </w:tcPr>
          <w:p w14:paraId="0DF356B3">
            <w:pPr>
              <w:jc w:val="center"/>
              <w:rPr>
                <w:rFonts w:ascii="宋体" w:hAnsi="宋体"/>
                <w:sz w:val="24"/>
              </w:rPr>
            </w:pPr>
          </w:p>
        </w:tc>
      </w:tr>
      <w:tr w14:paraId="69B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4D66ABBA">
            <w:pPr>
              <w:jc w:val="center"/>
              <w:rPr>
                <w:rFonts w:ascii="宋体" w:hAnsi="宋体"/>
                <w:sz w:val="24"/>
              </w:rPr>
            </w:pPr>
          </w:p>
        </w:tc>
        <w:tc>
          <w:tcPr>
            <w:tcW w:w="2852" w:type="dxa"/>
          </w:tcPr>
          <w:p w14:paraId="58F75079">
            <w:pPr>
              <w:jc w:val="center"/>
              <w:rPr>
                <w:rFonts w:ascii="宋体" w:hAnsi="宋体"/>
                <w:sz w:val="24"/>
              </w:rPr>
            </w:pPr>
          </w:p>
        </w:tc>
        <w:tc>
          <w:tcPr>
            <w:tcW w:w="2852" w:type="dxa"/>
          </w:tcPr>
          <w:p w14:paraId="5A06B980">
            <w:pPr>
              <w:jc w:val="center"/>
              <w:rPr>
                <w:rFonts w:ascii="宋体" w:hAnsi="宋体"/>
                <w:sz w:val="24"/>
              </w:rPr>
            </w:pPr>
          </w:p>
        </w:tc>
        <w:tc>
          <w:tcPr>
            <w:tcW w:w="1307" w:type="dxa"/>
          </w:tcPr>
          <w:p w14:paraId="196C0F9C">
            <w:pPr>
              <w:jc w:val="center"/>
              <w:rPr>
                <w:rFonts w:ascii="宋体" w:hAnsi="宋体"/>
                <w:sz w:val="24"/>
              </w:rPr>
            </w:pPr>
          </w:p>
        </w:tc>
        <w:tc>
          <w:tcPr>
            <w:tcW w:w="1174" w:type="dxa"/>
          </w:tcPr>
          <w:p w14:paraId="1CDEA446">
            <w:pPr>
              <w:jc w:val="center"/>
              <w:rPr>
                <w:rFonts w:ascii="宋体" w:hAnsi="宋体"/>
                <w:sz w:val="24"/>
              </w:rPr>
            </w:pPr>
          </w:p>
        </w:tc>
      </w:tr>
      <w:tr w14:paraId="450B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5039728">
            <w:pPr>
              <w:jc w:val="center"/>
              <w:rPr>
                <w:rFonts w:ascii="宋体" w:hAnsi="宋体"/>
                <w:sz w:val="24"/>
              </w:rPr>
            </w:pPr>
          </w:p>
        </w:tc>
        <w:tc>
          <w:tcPr>
            <w:tcW w:w="2852" w:type="dxa"/>
          </w:tcPr>
          <w:p w14:paraId="34B657B8">
            <w:pPr>
              <w:jc w:val="center"/>
              <w:rPr>
                <w:rFonts w:ascii="宋体" w:hAnsi="宋体"/>
                <w:sz w:val="24"/>
              </w:rPr>
            </w:pPr>
          </w:p>
        </w:tc>
        <w:tc>
          <w:tcPr>
            <w:tcW w:w="2852" w:type="dxa"/>
          </w:tcPr>
          <w:p w14:paraId="2AC2B3D6">
            <w:pPr>
              <w:jc w:val="center"/>
              <w:rPr>
                <w:rFonts w:ascii="宋体" w:hAnsi="宋体"/>
                <w:sz w:val="24"/>
              </w:rPr>
            </w:pPr>
          </w:p>
        </w:tc>
        <w:tc>
          <w:tcPr>
            <w:tcW w:w="1307" w:type="dxa"/>
          </w:tcPr>
          <w:p w14:paraId="0FC40688">
            <w:pPr>
              <w:jc w:val="center"/>
              <w:rPr>
                <w:rFonts w:ascii="宋体" w:hAnsi="宋体"/>
                <w:sz w:val="24"/>
              </w:rPr>
            </w:pPr>
          </w:p>
        </w:tc>
        <w:tc>
          <w:tcPr>
            <w:tcW w:w="1174" w:type="dxa"/>
          </w:tcPr>
          <w:p w14:paraId="40E29EBA">
            <w:pPr>
              <w:jc w:val="center"/>
              <w:rPr>
                <w:rFonts w:ascii="宋体" w:hAnsi="宋体"/>
                <w:sz w:val="24"/>
              </w:rPr>
            </w:pPr>
          </w:p>
        </w:tc>
      </w:tr>
      <w:tr w14:paraId="55DD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7DD85F8">
            <w:pPr>
              <w:jc w:val="center"/>
              <w:rPr>
                <w:rFonts w:ascii="宋体" w:hAnsi="宋体"/>
                <w:sz w:val="24"/>
              </w:rPr>
            </w:pPr>
          </w:p>
        </w:tc>
        <w:tc>
          <w:tcPr>
            <w:tcW w:w="2852" w:type="dxa"/>
          </w:tcPr>
          <w:p w14:paraId="7F48B142">
            <w:pPr>
              <w:jc w:val="center"/>
              <w:rPr>
                <w:rFonts w:ascii="宋体" w:hAnsi="宋体"/>
                <w:sz w:val="24"/>
              </w:rPr>
            </w:pPr>
          </w:p>
        </w:tc>
        <w:tc>
          <w:tcPr>
            <w:tcW w:w="2852" w:type="dxa"/>
          </w:tcPr>
          <w:p w14:paraId="068C63A7">
            <w:pPr>
              <w:jc w:val="center"/>
              <w:rPr>
                <w:rFonts w:ascii="宋体" w:hAnsi="宋体"/>
                <w:sz w:val="24"/>
              </w:rPr>
            </w:pPr>
          </w:p>
        </w:tc>
        <w:tc>
          <w:tcPr>
            <w:tcW w:w="1307" w:type="dxa"/>
          </w:tcPr>
          <w:p w14:paraId="5BD4006C">
            <w:pPr>
              <w:jc w:val="center"/>
              <w:rPr>
                <w:rFonts w:ascii="宋体" w:hAnsi="宋体"/>
                <w:sz w:val="24"/>
              </w:rPr>
            </w:pPr>
          </w:p>
        </w:tc>
        <w:tc>
          <w:tcPr>
            <w:tcW w:w="1174" w:type="dxa"/>
          </w:tcPr>
          <w:p w14:paraId="191E85DA">
            <w:pPr>
              <w:jc w:val="center"/>
              <w:rPr>
                <w:rFonts w:ascii="宋体" w:hAnsi="宋体"/>
                <w:sz w:val="24"/>
              </w:rPr>
            </w:pPr>
          </w:p>
        </w:tc>
      </w:tr>
      <w:tr w14:paraId="1A4C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5FCA09F">
            <w:pPr>
              <w:jc w:val="center"/>
              <w:rPr>
                <w:rFonts w:ascii="宋体" w:hAnsi="宋体"/>
                <w:sz w:val="24"/>
              </w:rPr>
            </w:pPr>
          </w:p>
        </w:tc>
        <w:tc>
          <w:tcPr>
            <w:tcW w:w="2852" w:type="dxa"/>
          </w:tcPr>
          <w:p w14:paraId="48B791CF">
            <w:pPr>
              <w:jc w:val="center"/>
              <w:rPr>
                <w:rFonts w:ascii="宋体" w:hAnsi="宋体"/>
                <w:sz w:val="24"/>
              </w:rPr>
            </w:pPr>
          </w:p>
        </w:tc>
        <w:tc>
          <w:tcPr>
            <w:tcW w:w="2852" w:type="dxa"/>
          </w:tcPr>
          <w:p w14:paraId="22E8FF92">
            <w:pPr>
              <w:jc w:val="center"/>
              <w:rPr>
                <w:rFonts w:ascii="宋体" w:hAnsi="宋体"/>
                <w:sz w:val="24"/>
              </w:rPr>
            </w:pPr>
          </w:p>
        </w:tc>
        <w:tc>
          <w:tcPr>
            <w:tcW w:w="1307" w:type="dxa"/>
          </w:tcPr>
          <w:p w14:paraId="21B897EE">
            <w:pPr>
              <w:jc w:val="center"/>
              <w:rPr>
                <w:rFonts w:ascii="宋体" w:hAnsi="宋体"/>
                <w:sz w:val="24"/>
              </w:rPr>
            </w:pPr>
          </w:p>
        </w:tc>
        <w:tc>
          <w:tcPr>
            <w:tcW w:w="1174" w:type="dxa"/>
          </w:tcPr>
          <w:p w14:paraId="59885BE7">
            <w:pPr>
              <w:jc w:val="center"/>
              <w:rPr>
                <w:rFonts w:ascii="宋体" w:hAnsi="宋体"/>
                <w:sz w:val="24"/>
              </w:rPr>
            </w:pPr>
          </w:p>
        </w:tc>
      </w:tr>
      <w:tr w14:paraId="47D7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3EE01C2">
            <w:pPr>
              <w:jc w:val="center"/>
              <w:rPr>
                <w:rFonts w:ascii="宋体" w:hAnsi="宋体"/>
                <w:sz w:val="24"/>
              </w:rPr>
            </w:pPr>
          </w:p>
        </w:tc>
        <w:tc>
          <w:tcPr>
            <w:tcW w:w="2852" w:type="dxa"/>
          </w:tcPr>
          <w:p w14:paraId="11BCDFA8">
            <w:pPr>
              <w:jc w:val="center"/>
              <w:rPr>
                <w:rFonts w:ascii="宋体" w:hAnsi="宋体"/>
                <w:sz w:val="24"/>
              </w:rPr>
            </w:pPr>
          </w:p>
        </w:tc>
        <w:tc>
          <w:tcPr>
            <w:tcW w:w="2852" w:type="dxa"/>
          </w:tcPr>
          <w:p w14:paraId="760A8A85">
            <w:pPr>
              <w:jc w:val="center"/>
              <w:rPr>
                <w:rFonts w:ascii="宋体" w:hAnsi="宋体"/>
                <w:sz w:val="24"/>
              </w:rPr>
            </w:pPr>
          </w:p>
        </w:tc>
        <w:tc>
          <w:tcPr>
            <w:tcW w:w="1307" w:type="dxa"/>
          </w:tcPr>
          <w:p w14:paraId="5E7F7F56">
            <w:pPr>
              <w:jc w:val="center"/>
              <w:rPr>
                <w:rFonts w:ascii="宋体" w:hAnsi="宋体"/>
                <w:sz w:val="24"/>
              </w:rPr>
            </w:pPr>
          </w:p>
        </w:tc>
        <w:tc>
          <w:tcPr>
            <w:tcW w:w="1174" w:type="dxa"/>
          </w:tcPr>
          <w:p w14:paraId="18C97E3D">
            <w:pPr>
              <w:jc w:val="center"/>
              <w:rPr>
                <w:rFonts w:ascii="宋体" w:hAnsi="宋体"/>
                <w:sz w:val="24"/>
              </w:rPr>
            </w:pPr>
          </w:p>
        </w:tc>
      </w:tr>
      <w:tr w14:paraId="0F28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671FC6B5">
            <w:pPr>
              <w:jc w:val="center"/>
              <w:rPr>
                <w:rFonts w:ascii="宋体" w:hAnsi="宋体"/>
                <w:sz w:val="24"/>
              </w:rPr>
            </w:pPr>
          </w:p>
        </w:tc>
        <w:tc>
          <w:tcPr>
            <w:tcW w:w="2852" w:type="dxa"/>
          </w:tcPr>
          <w:p w14:paraId="3E95328E">
            <w:pPr>
              <w:jc w:val="center"/>
              <w:rPr>
                <w:rFonts w:ascii="宋体" w:hAnsi="宋体"/>
                <w:sz w:val="24"/>
              </w:rPr>
            </w:pPr>
          </w:p>
        </w:tc>
        <w:tc>
          <w:tcPr>
            <w:tcW w:w="2852" w:type="dxa"/>
          </w:tcPr>
          <w:p w14:paraId="09654B82">
            <w:pPr>
              <w:jc w:val="center"/>
              <w:rPr>
                <w:rFonts w:ascii="宋体" w:hAnsi="宋体"/>
                <w:sz w:val="24"/>
              </w:rPr>
            </w:pPr>
          </w:p>
        </w:tc>
        <w:tc>
          <w:tcPr>
            <w:tcW w:w="1307" w:type="dxa"/>
          </w:tcPr>
          <w:p w14:paraId="47FE447E">
            <w:pPr>
              <w:jc w:val="center"/>
              <w:rPr>
                <w:rFonts w:ascii="宋体" w:hAnsi="宋体"/>
                <w:sz w:val="24"/>
              </w:rPr>
            </w:pPr>
          </w:p>
        </w:tc>
        <w:tc>
          <w:tcPr>
            <w:tcW w:w="1174" w:type="dxa"/>
          </w:tcPr>
          <w:p w14:paraId="6F2B3CE1">
            <w:pPr>
              <w:jc w:val="center"/>
              <w:rPr>
                <w:rFonts w:ascii="宋体" w:hAnsi="宋体"/>
                <w:sz w:val="24"/>
              </w:rPr>
            </w:pPr>
          </w:p>
        </w:tc>
      </w:tr>
      <w:tr w14:paraId="49CE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3284F48">
            <w:pPr>
              <w:jc w:val="center"/>
              <w:rPr>
                <w:rFonts w:ascii="宋体" w:hAnsi="宋体"/>
                <w:sz w:val="24"/>
              </w:rPr>
            </w:pPr>
          </w:p>
        </w:tc>
        <w:tc>
          <w:tcPr>
            <w:tcW w:w="2852" w:type="dxa"/>
          </w:tcPr>
          <w:p w14:paraId="50AC9A1F">
            <w:pPr>
              <w:jc w:val="center"/>
              <w:rPr>
                <w:rFonts w:ascii="宋体" w:hAnsi="宋体"/>
                <w:sz w:val="24"/>
              </w:rPr>
            </w:pPr>
          </w:p>
        </w:tc>
        <w:tc>
          <w:tcPr>
            <w:tcW w:w="2852" w:type="dxa"/>
          </w:tcPr>
          <w:p w14:paraId="3AA9F083">
            <w:pPr>
              <w:jc w:val="center"/>
              <w:rPr>
                <w:rFonts w:ascii="宋体" w:hAnsi="宋体"/>
                <w:sz w:val="24"/>
              </w:rPr>
            </w:pPr>
          </w:p>
        </w:tc>
        <w:tc>
          <w:tcPr>
            <w:tcW w:w="1307" w:type="dxa"/>
          </w:tcPr>
          <w:p w14:paraId="12BCA3A7">
            <w:pPr>
              <w:jc w:val="center"/>
              <w:rPr>
                <w:rFonts w:ascii="宋体" w:hAnsi="宋体"/>
                <w:sz w:val="24"/>
              </w:rPr>
            </w:pPr>
          </w:p>
        </w:tc>
        <w:tc>
          <w:tcPr>
            <w:tcW w:w="1174" w:type="dxa"/>
          </w:tcPr>
          <w:p w14:paraId="0C2847C5">
            <w:pPr>
              <w:jc w:val="center"/>
              <w:rPr>
                <w:rFonts w:ascii="宋体" w:hAnsi="宋体"/>
                <w:sz w:val="24"/>
              </w:rPr>
            </w:pPr>
          </w:p>
        </w:tc>
      </w:tr>
    </w:tbl>
    <w:p w14:paraId="4B21B456">
      <w:pPr>
        <w:spacing w:line="480" w:lineRule="exact"/>
        <w:rPr>
          <w:rFonts w:ascii="宋体" w:hAnsi="宋体"/>
          <w:sz w:val="24"/>
        </w:rPr>
      </w:pPr>
    </w:p>
    <w:p w14:paraId="0DF613C1">
      <w:pPr>
        <w:kinsoku w:val="0"/>
        <w:topLinePunct/>
        <w:snapToGrid w:val="0"/>
        <w:spacing w:line="520" w:lineRule="exact"/>
        <w:ind w:firstLine="480" w:firstLineChars="200"/>
        <w:rPr>
          <w:rFonts w:ascii="宋体" w:hAnsi="宋体" w:cs="宋体"/>
          <w:sz w:val="24"/>
        </w:rPr>
      </w:pPr>
      <w:r>
        <w:rPr>
          <w:rFonts w:hint="eastAsia" w:ascii="宋体" w:hAnsi="宋体" w:cs="宋体"/>
          <w:sz w:val="24"/>
        </w:rPr>
        <w:t xml:space="preserve">供应商：（盖章）             </w:t>
      </w:r>
    </w:p>
    <w:p w14:paraId="02B62BA7">
      <w:pPr>
        <w:kinsoku w:val="0"/>
        <w:topLinePunct/>
        <w:snapToGrid w:val="0"/>
        <w:spacing w:line="520" w:lineRule="exact"/>
        <w:ind w:firstLine="480" w:firstLineChars="200"/>
        <w:rPr>
          <w:rFonts w:ascii="宋体" w:hAnsi="宋体" w:cs="宋体"/>
          <w:sz w:val="24"/>
        </w:rPr>
      </w:pPr>
      <w:r>
        <w:rPr>
          <w:rFonts w:hint="eastAsia" w:ascii="宋体" w:hAnsi="宋体" w:cs="宋体"/>
          <w:sz w:val="24"/>
        </w:rPr>
        <w:t>法定代表人或被授权人（签字或盖章）：</w:t>
      </w:r>
    </w:p>
    <w:p w14:paraId="0680D339">
      <w:pPr>
        <w:kinsoku w:val="0"/>
        <w:topLinePunct/>
        <w:snapToGrid w:val="0"/>
        <w:spacing w:line="520" w:lineRule="exact"/>
        <w:ind w:firstLine="480" w:firstLineChars="200"/>
        <w:rPr>
          <w:rFonts w:ascii="宋体" w:hAnsi="宋体" w:cs="宋体"/>
          <w:sz w:val="24"/>
        </w:rPr>
      </w:pPr>
      <w:r>
        <w:rPr>
          <w:rFonts w:hint="eastAsia" w:ascii="宋体" w:hAnsi="宋体" w:cs="宋体"/>
          <w:sz w:val="24"/>
        </w:rPr>
        <w:t>日期：</w:t>
      </w:r>
    </w:p>
    <w:p w14:paraId="76AD9746">
      <w:pPr>
        <w:rPr>
          <w:rFonts w:ascii="宋体" w:hAnsi="宋体"/>
          <w:sz w:val="24"/>
        </w:rPr>
      </w:pPr>
    </w:p>
    <w:p w14:paraId="37E26F97">
      <w:pPr>
        <w:spacing w:line="480" w:lineRule="exact"/>
        <w:rPr>
          <w:rFonts w:ascii="宋体" w:hAnsi="宋体"/>
          <w:sz w:val="24"/>
        </w:rPr>
      </w:pPr>
    </w:p>
    <w:p w14:paraId="64C98003">
      <w:pPr>
        <w:spacing w:line="360" w:lineRule="auto"/>
        <w:jc w:val="center"/>
        <w:rPr>
          <w:rFonts w:ascii="宋体" w:hAnsi="宋体"/>
          <w:b/>
          <w:sz w:val="32"/>
          <w:szCs w:val="32"/>
        </w:rPr>
      </w:pPr>
      <w:r>
        <w:rPr>
          <w:rFonts w:ascii="宋体" w:hAnsi="宋体" w:cs="宋体"/>
          <w:b/>
          <w:bCs/>
          <w:sz w:val="24"/>
        </w:rPr>
        <w:br w:type="page"/>
      </w:r>
      <w:r>
        <w:rPr>
          <w:rFonts w:hint="eastAsia" w:ascii="宋体" w:hAnsi="宋体" w:cs="宋体"/>
          <w:b/>
          <w:bCs/>
          <w:sz w:val="24"/>
        </w:rPr>
        <w:t>3、商务部分正负偏离表</w:t>
      </w:r>
    </w:p>
    <w:p w14:paraId="3CF0E2C7">
      <w:pPr>
        <w:jc w:val="center"/>
        <w:rPr>
          <w:rFonts w:ascii="宋体" w:hAnsi="宋体"/>
          <w:sz w:val="24"/>
        </w:rPr>
      </w:pPr>
    </w:p>
    <w:p w14:paraId="08A75C4C">
      <w:pPr>
        <w:rPr>
          <w:rFonts w:ascii="宋体" w:hAnsi="宋体"/>
          <w:sz w:val="24"/>
        </w:rPr>
      </w:pPr>
    </w:p>
    <w:tbl>
      <w:tblPr>
        <w:tblStyle w:val="36"/>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3544"/>
        <w:gridCol w:w="1276"/>
        <w:gridCol w:w="2409"/>
      </w:tblGrid>
      <w:tr w14:paraId="06A53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51" w:type="dxa"/>
            <w:tcBorders>
              <w:top w:val="single" w:color="auto" w:sz="4" w:space="0"/>
              <w:left w:val="single" w:color="auto" w:sz="4" w:space="0"/>
              <w:bottom w:val="single" w:color="auto" w:sz="4" w:space="0"/>
              <w:right w:val="single" w:color="auto" w:sz="4" w:space="0"/>
            </w:tcBorders>
            <w:vAlign w:val="center"/>
          </w:tcPr>
          <w:p w14:paraId="43F04778">
            <w:pPr>
              <w:snapToGrid w:val="0"/>
              <w:spacing w:before="156" w:beforeLines="50"/>
              <w:jc w:val="center"/>
              <w:rPr>
                <w:rFonts w:ascii="仿宋_GB2312" w:hAnsi="宋体" w:eastAsia="仿宋_GB2312"/>
                <w:sz w:val="24"/>
                <w:szCs w:val="20"/>
              </w:rPr>
            </w:pPr>
            <w:r>
              <w:rPr>
                <w:rFonts w:hint="eastAsia" w:ascii="仿宋_GB2312" w:hAnsi="宋体"/>
                <w:sz w:val="24"/>
                <w:szCs w:val="21"/>
              </w:rPr>
              <w:t>项目</w:t>
            </w:r>
          </w:p>
        </w:tc>
        <w:tc>
          <w:tcPr>
            <w:tcW w:w="3544" w:type="dxa"/>
            <w:tcBorders>
              <w:top w:val="single" w:color="auto" w:sz="4" w:space="0"/>
              <w:left w:val="single" w:color="auto" w:sz="4" w:space="0"/>
              <w:bottom w:val="single" w:color="auto" w:sz="4" w:space="0"/>
              <w:right w:val="single" w:color="auto" w:sz="4" w:space="0"/>
            </w:tcBorders>
          </w:tcPr>
          <w:p w14:paraId="11A4459B">
            <w:pPr>
              <w:snapToGrid w:val="0"/>
              <w:spacing w:before="156" w:beforeLines="50"/>
              <w:jc w:val="center"/>
              <w:rPr>
                <w:rFonts w:ascii="仿宋_GB2312" w:hAnsi="宋体" w:eastAsia="仿宋_GB2312"/>
                <w:sz w:val="24"/>
                <w:szCs w:val="20"/>
              </w:rPr>
            </w:pPr>
            <w:r>
              <w:rPr>
                <w:rFonts w:hint="eastAsia" w:ascii="仿宋_GB2312" w:hAnsi="宋体"/>
                <w:sz w:val="24"/>
                <w:szCs w:val="21"/>
              </w:rPr>
              <w:t>竞争性磋商文件要求</w:t>
            </w:r>
          </w:p>
        </w:tc>
        <w:tc>
          <w:tcPr>
            <w:tcW w:w="1276" w:type="dxa"/>
            <w:tcBorders>
              <w:top w:val="single" w:color="auto" w:sz="4" w:space="0"/>
              <w:left w:val="single" w:color="auto" w:sz="4" w:space="0"/>
              <w:bottom w:val="single" w:color="auto" w:sz="4" w:space="0"/>
              <w:right w:val="single" w:color="auto" w:sz="4" w:space="0"/>
            </w:tcBorders>
          </w:tcPr>
          <w:p w14:paraId="126B8F3F">
            <w:pPr>
              <w:snapToGrid w:val="0"/>
              <w:spacing w:before="156" w:beforeLines="50"/>
              <w:jc w:val="center"/>
              <w:rPr>
                <w:rFonts w:ascii="仿宋_GB2312" w:hAnsi="宋体" w:eastAsia="仿宋_GB2312"/>
                <w:sz w:val="24"/>
                <w:szCs w:val="20"/>
              </w:rPr>
            </w:pPr>
            <w:r>
              <w:rPr>
                <w:rFonts w:hint="eastAsia" w:ascii="仿宋_GB2312" w:hAnsi="宋体"/>
                <w:sz w:val="24"/>
                <w:szCs w:val="21"/>
              </w:rPr>
              <w:t>是否响应</w:t>
            </w:r>
          </w:p>
        </w:tc>
        <w:tc>
          <w:tcPr>
            <w:tcW w:w="2409" w:type="dxa"/>
            <w:tcBorders>
              <w:top w:val="single" w:color="auto" w:sz="4" w:space="0"/>
              <w:left w:val="single" w:color="auto" w:sz="4" w:space="0"/>
              <w:bottom w:val="single" w:color="auto" w:sz="4" w:space="0"/>
              <w:right w:val="single" w:color="auto" w:sz="4" w:space="0"/>
            </w:tcBorders>
          </w:tcPr>
          <w:p w14:paraId="2962D1CA">
            <w:pPr>
              <w:snapToGrid w:val="0"/>
              <w:spacing w:before="156" w:beforeLines="50"/>
              <w:jc w:val="center"/>
              <w:rPr>
                <w:rFonts w:ascii="仿宋_GB2312" w:hAnsi="宋体" w:eastAsia="仿宋_GB2312"/>
                <w:sz w:val="24"/>
                <w:szCs w:val="20"/>
              </w:rPr>
            </w:pPr>
            <w:r>
              <w:rPr>
                <w:rFonts w:hint="eastAsia" w:ascii="仿宋_GB2312" w:hAnsi="宋体"/>
                <w:sz w:val="24"/>
                <w:szCs w:val="21"/>
              </w:rPr>
              <w:t>供应商的承诺或说明</w:t>
            </w:r>
          </w:p>
        </w:tc>
      </w:tr>
      <w:tr w14:paraId="5D715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951" w:type="dxa"/>
            <w:tcBorders>
              <w:top w:val="single" w:color="auto" w:sz="4" w:space="0"/>
              <w:left w:val="single" w:color="auto" w:sz="4" w:space="0"/>
              <w:bottom w:val="single" w:color="auto" w:sz="4" w:space="0"/>
              <w:right w:val="single" w:color="auto" w:sz="4" w:space="0"/>
            </w:tcBorders>
            <w:vAlign w:val="center"/>
          </w:tcPr>
          <w:p w14:paraId="4112DA2D">
            <w:pPr>
              <w:snapToGrid w:val="0"/>
              <w:spacing w:before="156" w:beforeLines="50"/>
              <w:jc w:val="center"/>
              <w:rPr>
                <w:rFonts w:ascii="仿宋_GB2312" w:hAnsi="宋体" w:eastAsia="仿宋_GB2312"/>
                <w:sz w:val="24"/>
                <w:szCs w:val="20"/>
              </w:rPr>
            </w:pPr>
          </w:p>
        </w:tc>
        <w:tc>
          <w:tcPr>
            <w:tcW w:w="3544" w:type="dxa"/>
            <w:tcBorders>
              <w:top w:val="single" w:color="auto" w:sz="4" w:space="0"/>
              <w:left w:val="single" w:color="auto" w:sz="4" w:space="0"/>
              <w:bottom w:val="single" w:color="auto" w:sz="4" w:space="0"/>
              <w:right w:val="single" w:color="auto" w:sz="4" w:space="0"/>
            </w:tcBorders>
          </w:tcPr>
          <w:p w14:paraId="07F07E08">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6DBD04E7">
            <w:pPr>
              <w:snapToGrid w:val="0"/>
              <w:spacing w:before="156"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229BE1CB">
            <w:pPr>
              <w:snapToGrid w:val="0"/>
              <w:spacing w:before="156" w:beforeLines="50"/>
              <w:rPr>
                <w:rFonts w:ascii="仿宋_GB2312" w:hAnsi="宋体" w:eastAsia="仿宋_GB2312"/>
                <w:sz w:val="24"/>
                <w:szCs w:val="20"/>
              </w:rPr>
            </w:pPr>
          </w:p>
        </w:tc>
      </w:tr>
      <w:tr w14:paraId="72BA3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51" w:type="dxa"/>
            <w:tcBorders>
              <w:top w:val="single" w:color="auto" w:sz="4" w:space="0"/>
              <w:left w:val="single" w:color="auto" w:sz="4" w:space="0"/>
              <w:bottom w:val="single" w:color="auto" w:sz="4" w:space="0"/>
              <w:right w:val="single" w:color="auto" w:sz="4" w:space="0"/>
            </w:tcBorders>
            <w:vAlign w:val="center"/>
          </w:tcPr>
          <w:p w14:paraId="08D01E00">
            <w:pPr>
              <w:snapToGrid w:val="0"/>
              <w:spacing w:before="156" w:beforeLines="50"/>
              <w:jc w:val="center"/>
              <w:rPr>
                <w:rFonts w:ascii="仿宋_GB2312" w:hAnsi="宋体" w:eastAsia="仿宋_GB2312"/>
                <w:sz w:val="24"/>
                <w:szCs w:val="20"/>
              </w:rPr>
            </w:pPr>
          </w:p>
        </w:tc>
        <w:tc>
          <w:tcPr>
            <w:tcW w:w="3544" w:type="dxa"/>
            <w:tcBorders>
              <w:top w:val="single" w:color="auto" w:sz="4" w:space="0"/>
              <w:left w:val="single" w:color="auto" w:sz="4" w:space="0"/>
              <w:bottom w:val="single" w:color="auto" w:sz="4" w:space="0"/>
              <w:right w:val="single" w:color="auto" w:sz="4" w:space="0"/>
            </w:tcBorders>
          </w:tcPr>
          <w:p w14:paraId="2B259E14">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5A85A58E">
            <w:pPr>
              <w:snapToGrid w:val="0"/>
              <w:spacing w:before="156"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736F0AB2">
            <w:pPr>
              <w:snapToGrid w:val="0"/>
              <w:spacing w:before="156" w:beforeLines="50"/>
              <w:rPr>
                <w:rFonts w:ascii="仿宋_GB2312" w:hAnsi="宋体" w:eastAsia="仿宋_GB2312"/>
                <w:sz w:val="24"/>
                <w:szCs w:val="20"/>
              </w:rPr>
            </w:pPr>
          </w:p>
        </w:tc>
      </w:tr>
      <w:tr w14:paraId="67C33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51" w:type="dxa"/>
            <w:tcBorders>
              <w:top w:val="single" w:color="auto" w:sz="4" w:space="0"/>
              <w:left w:val="single" w:color="auto" w:sz="4" w:space="0"/>
              <w:bottom w:val="single" w:color="auto" w:sz="4" w:space="0"/>
              <w:right w:val="single" w:color="auto" w:sz="4" w:space="0"/>
            </w:tcBorders>
            <w:vAlign w:val="center"/>
          </w:tcPr>
          <w:p w14:paraId="3F2E7E9C">
            <w:pPr>
              <w:snapToGrid w:val="0"/>
              <w:spacing w:before="156" w:beforeLines="50"/>
              <w:jc w:val="center"/>
              <w:rPr>
                <w:rFonts w:ascii="仿宋_GB2312" w:hAnsi="宋体" w:eastAsia="仿宋_GB2312"/>
                <w:sz w:val="24"/>
                <w:szCs w:val="20"/>
              </w:rPr>
            </w:pPr>
          </w:p>
        </w:tc>
        <w:tc>
          <w:tcPr>
            <w:tcW w:w="3544" w:type="dxa"/>
            <w:tcBorders>
              <w:top w:val="single" w:color="auto" w:sz="4" w:space="0"/>
              <w:left w:val="single" w:color="auto" w:sz="4" w:space="0"/>
              <w:bottom w:val="single" w:color="auto" w:sz="4" w:space="0"/>
              <w:right w:val="single" w:color="auto" w:sz="4" w:space="0"/>
            </w:tcBorders>
          </w:tcPr>
          <w:p w14:paraId="107FED0C">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14A8B0F2">
            <w:pPr>
              <w:snapToGrid w:val="0"/>
              <w:spacing w:before="156"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51DCA291">
            <w:pPr>
              <w:snapToGrid w:val="0"/>
              <w:spacing w:before="156" w:beforeLines="50"/>
              <w:ind w:left="43"/>
              <w:rPr>
                <w:rFonts w:ascii="仿宋_GB2312" w:hAnsi="宋体" w:eastAsia="仿宋_GB2312"/>
                <w:sz w:val="24"/>
                <w:szCs w:val="20"/>
              </w:rPr>
            </w:pPr>
          </w:p>
        </w:tc>
      </w:tr>
      <w:tr w14:paraId="39484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51" w:type="dxa"/>
            <w:tcBorders>
              <w:top w:val="single" w:color="auto" w:sz="4" w:space="0"/>
              <w:left w:val="single" w:color="auto" w:sz="4" w:space="0"/>
              <w:bottom w:val="single" w:color="auto" w:sz="4" w:space="0"/>
              <w:right w:val="single" w:color="auto" w:sz="4" w:space="0"/>
            </w:tcBorders>
            <w:vAlign w:val="center"/>
          </w:tcPr>
          <w:p w14:paraId="262AE580">
            <w:pPr>
              <w:snapToGrid w:val="0"/>
              <w:spacing w:before="156" w:beforeLines="50"/>
              <w:jc w:val="center"/>
              <w:rPr>
                <w:rFonts w:ascii="仿宋_GB2312"/>
                <w:sz w:val="24"/>
                <w:szCs w:val="21"/>
              </w:rPr>
            </w:pPr>
          </w:p>
        </w:tc>
        <w:tc>
          <w:tcPr>
            <w:tcW w:w="3544" w:type="dxa"/>
            <w:tcBorders>
              <w:top w:val="single" w:color="auto" w:sz="4" w:space="0"/>
              <w:left w:val="single" w:color="auto" w:sz="4" w:space="0"/>
              <w:bottom w:val="single" w:color="auto" w:sz="4" w:space="0"/>
              <w:right w:val="single" w:color="auto" w:sz="4" w:space="0"/>
            </w:tcBorders>
          </w:tcPr>
          <w:p w14:paraId="18C2AF95">
            <w:pPr>
              <w:snapToGrid w:val="0"/>
              <w:spacing w:before="156" w:beforeLines="50"/>
              <w:rPr>
                <w:rFonts w:ascii="仿宋_GB2312" w:hAnsi="宋体"/>
                <w:sz w:val="24"/>
                <w:szCs w:val="21"/>
              </w:rPr>
            </w:pPr>
          </w:p>
        </w:tc>
        <w:tc>
          <w:tcPr>
            <w:tcW w:w="1276" w:type="dxa"/>
            <w:tcBorders>
              <w:top w:val="single" w:color="auto" w:sz="4" w:space="0"/>
              <w:left w:val="single" w:color="auto" w:sz="4" w:space="0"/>
              <w:bottom w:val="single" w:color="auto" w:sz="4" w:space="0"/>
              <w:right w:val="single" w:color="auto" w:sz="4" w:space="0"/>
            </w:tcBorders>
          </w:tcPr>
          <w:p w14:paraId="4F6A9470">
            <w:pPr>
              <w:snapToGrid w:val="0"/>
              <w:spacing w:before="156"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7202F7B3">
            <w:pPr>
              <w:snapToGrid w:val="0"/>
              <w:spacing w:before="156" w:beforeLines="50"/>
              <w:ind w:left="43"/>
              <w:rPr>
                <w:rFonts w:ascii="仿宋_GB2312" w:hAnsi="宋体" w:eastAsia="仿宋_GB2312"/>
                <w:sz w:val="24"/>
                <w:szCs w:val="20"/>
              </w:rPr>
            </w:pPr>
          </w:p>
        </w:tc>
      </w:tr>
      <w:tr w14:paraId="67D8A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51" w:type="dxa"/>
            <w:tcBorders>
              <w:top w:val="single" w:color="auto" w:sz="4" w:space="0"/>
              <w:left w:val="single" w:color="auto" w:sz="4" w:space="0"/>
              <w:bottom w:val="single" w:color="auto" w:sz="4" w:space="0"/>
              <w:right w:val="single" w:color="auto" w:sz="4" w:space="0"/>
            </w:tcBorders>
            <w:vAlign w:val="center"/>
          </w:tcPr>
          <w:p w14:paraId="1CE52EA3">
            <w:pPr>
              <w:snapToGrid w:val="0"/>
              <w:spacing w:before="156" w:beforeLines="50"/>
              <w:jc w:val="center"/>
              <w:rPr>
                <w:rFonts w:ascii="仿宋_GB2312"/>
                <w:sz w:val="24"/>
                <w:szCs w:val="21"/>
              </w:rPr>
            </w:pPr>
          </w:p>
        </w:tc>
        <w:tc>
          <w:tcPr>
            <w:tcW w:w="3544" w:type="dxa"/>
            <w:tcBorders>
              <w:top w:val="single" w:color="auto" w:sz="4" w:space="0"/>
              <w:left w:val="single" w:color="auto" w:sz="4" w:space="0"/>
              <w:bottom w:val="single" w:color="auto" w:sz="4" w:space="0"/>
              <w:right w:val="single" w:color="auto" w:sz="4" w:space="0"/>
            </w:tcBorders>
          </w:tcPr>
          <w:p w14:paraId="44110CE8">
            <w:pPr>
              <w:snapToGrid w:val="0"/>
              <w:spacing w:before="156" w:beforeLines="50"/>
              <w:rPr>
                <w:rFonts w:ascii="仿宋_GB2312" w:hAnsi="宋体"/>
                <w:sz w:val="24"/>
                <w:szCs w:val="21"/>
              </w:rPr>
            </w:pPr>
          </w:p>
        </w:tc>
        <w:tc>
          <w:tcPr>
            <w:tcW w:w="1276" w:type="dxa"/>
            <w:tcBorders>
              <w:top w:val="single" w:color="auto" w:sz="4" w:space="0"/>
              <w:left w:val="single" w:color="auto" w:sz="4" w:space="0"/>
              <w:bottom w:val="single" w:color="auto" w:sz="4" w:space="0"/>
              <w:right w:val="single" w:color="auto" w:sz="4" w:space="0"/>
            </w:tcBorders>
          </w:tcPr>
          <w:p w14:paraId="7289DECA">
            <w:pPr>
              <w:snapToGrid w:val="0"/>
              <w:spacing w:before="156" w:beforeLines="50"/>
              <w:ind w:left="43"/>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3228F2A9">
            <w:pPr>
              <w:snapToGrid w:val="0"/>
              <w:spacing w:before="156" w:beforeLines="50"/>
              <w:ind w:left="43"/>
              <w:rPr>
                <w:rFonts w:ascii="仿宋_GB2312" w:hAnsi="宋体" w:eastAsia="仿宋_GB2312"/>
                <w:sz w:val="24"/>
                <w:szCs w:val="20"/>
              </w:rPr>
            </w:pPr>
          </w:p>
        </w:tc>
      </w:tr>
      <w:tr w14:paraId="28632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951" w:type="dxa"/>
            <w:tcBorders>
              <w:top w:val="single" w:color="auto" w:sz="4" w:space="0"/>
              <w:left w:val="single" w:color="auto" w:sz="4" w:space="0"/>
              <w:bottom w:val="single" w:color="auto" w:sz="4" w:space="0"/>
              <w:right w:val="single" w:color="auto" w:sz="4" w:space="0"/>
            </w:tcBorders>
            <w:vAlign w:val="center"/>
          </w:tcPr>
          <w:p w14:paraId="041E3C55">
            <w:pPr>
              <w:snapToGrid w:val="0"/>
              <w:spacing w:before="156" w:beforeLines="50"/>
              <w:jc w:val="center"/>
              <w:rPr>
                <w:rFonts w:ascii="仿宋_GB2312" w:hAnsi="宋体" w:eastAsia="仿宋_GB2312"/>
                <w:sz w:val="24"/>
                <w:szCs w:val="20"/>
              </w:rPr>
            </w:pPr>
          </w:p>
        </w:tc>
        <w:tc>
          <w:tcPr>
            <w:tcW w:w="3544" w:type="dxa"/>
            <w:tcBorders>
              <w:top w:val="single" w:color="auto" w:sz="4" w:space="0"/>
              <w:left w:val="single" w:color="auto" w:sz="4" w:space="0"/>
              <w:bottom w:val="single" w:color="auto" w:sz="4" w:space="0"/>
              <w:right w:val="single" w:color="auto" w:sz="4" w:space="0"/>
            </w:tcBorders>
          </w:tcPr>
          <w:p w14:paraId="135DEB07">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7C57A017">
            <w:pPr>
              <w:snapToGrid w:val="0"/>
              <w:spacing w:before="156"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39459079">
            <w:pPr>
              <w:snapToGrid w:val="0"/>
              <w:spacing w:before="156" w:beforeLines="50"/>
              <w:rPr>
                <w:rFonts w:ascii="仿宋_GB2312" w:hAnsi="宋体" w:eastAsia="仿宋_GB2312"/>
                <w:sz w:val="24"/>
                <w:szCs w:val="20"/>
              </w:rPr>
            </w:pPr>
          </w:p>
        </w:tc>
      </w:tr>
      <w:tr w14:paraId="2FB94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51" w:type="dxa"/>
            <w:tcBorders>
              <w:top w:val="single" w:color="auto" w:sz="4" w:space="0"/>
              <w:left w:val="single" w:color="auto" w:sz="4" w:space="0"/>
              <w:bottom w:val="single" w:color="auto" w:sz="4" w:space="0"/>
              <w:right w:val="single" w:color="auto" w:sz="4" w:space="0"/>
            </w:tcBorders>
            <w:vAlign w:val="center"/>
          </w:tcPr>
          <w:p w14:paraId="0ECB6F92">
            <w:pPr>
              <w:snapToGrid w:val="0"/>
              <w:spacing w:before="156" w:beforeLines="50"/>
              <w:jc w:val="center"/>
              <w:rPr>
                <w:rFonts w:ascii="宋体" w:hAnsi="宋体"/>
                <w:sz w:val="24"/>
                <w:szCs w:val="20"/>
              </w:rPr>
            </w:pPr>
          </w:p>
        </w:tc>
        <w:tc>
          <w:tcPr>
            <w:tcW w:w="3544" w:type="dxa"/>
            <w:tcBorders>
              <w:top w:val="single" w:color="auto" w:sz="4" w:space="0"/>
              <w:left w:val="single" w:color="auto" w:sz="4" w:space="0"/>
              <w:bottom w:val="single" w:color="auto" w:sz="4" w:space="0"/>
              <w:right w:val="single" w:color="auto" w:sz="4" w:space="0"/>
            </w:tcBorders>
          </w:tcPr>
          <w:p w14:paraId="7CB627CD">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1EB63A0D">
            <w:pPr>
              <w:snapToGrid w:val="0"/>
              <w:spacing w:before="156"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05E20F52">
            <w:pPr>
              <w:snapToGrid w:val="0"/>
              <w:spacing w:before="156" w:beforeLines="50"/>
              <w:rPr>
                <w:rFonts w:ascii="仿宋_GB2312" w:hAnsi="宋体" w:eastAsia="仿宋_GB2312"/>
                <w:sz w:val="24"/>
                <w:szCs w:val="20"/>
              </w:rPr>
            </w:pPr>
          </w:p>
        </w:tc>
      </w:tr>
      <w:tr w14:paraId="33936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51" w:type="dxa"/>
            <w:tcBorders>
              <w:top w:val="single" w:color="auto" w:sz="4" w:space="0"/>
              <w:left w:val="single" w:color="auto" w:sz="4" w:space="0"/>
              <w:bottom w:val="single" w:color="auto" w:sz="4" w:space="0"/>
              <w:right w:val="single" w:color="auto" w:sz="4" w:space="0"/>
            </w:tcBorders>
            <w:vAlign w:val="center"/>
          </w:tcPr>
          <w:p w14:paraId="0B44EA33">
            <w:pPr>
              <w:snapToGrid w:val="0"/>
              <w:spacing w:before="156" w:beforeLines="50"/>
              <w:jc w:val="center"/>
              <w:rPr>
                <w:rFonts w:ascii="仿宋_GB2312"/>
                <w:sz w:val="24"/>
                <w:szCs w:val="21"/>
              </w:rPr>
            </w:pPr>
          </w:p>
        </w:tc>
        <w:tc>
          <w:tcPr>
            <w:tcW w:w="3544" w:type="dxa"/>
            <w:tcBorders>
              <w:top w:val="single" w:color="auto" w:sz="4" w:space="0"/>
              <w:left w:val="single" w:color="auto" w:sz="4" w:space="0"/>
              <w:bottom w:val="single" w:color="auto" w:sz="4" w:space="0"/>
              <w:right w:val="single" w:color="auto" w:sz="4" w:space="0"/>
            </w:tcBorders>
          </w:tcPr>
          <w:p w14:paraId="4CEFDB26">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7D591308">
            <w:pPr>
              <w:snapToGrid w:val="0"/>
              <w:spacing w:before="156"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24D47B7E">
            <w:pPr>
              <w:snapToGrid w:val="0"/>
              <w:spacing w:before="156" w:beforeLines="50"/>
              <w:rPr>
                <w:rFonts w:ascii="仿宋_GB2312" w:hAnsi="宋体" w:eastAsia="仿宋_GB2312"/>
                <w:sz w:val="24"/>
                <w:szCs w:val="20"/>
              </w:rPr>
            </w:pPr>
          </w:p>
        </w:tc>
      </w:tr>
      <w:tr w14:paraId="25DE2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14:paraId="0B9F5190">
            <w:pPr>
              <w:snapToGrid w:val="0"/>
              <w:spacing w:before="156" w:beforeLines="50"/>
              <w:jc w:val="center"/>
              <w:rPr>
                <w:rFonts w:ascii="仿宋_GB2312" w:hAnsi="宋体" w:eastAsia="仿宋_GB2312"/>
                <w:sz w:val="24"/>
                <w:szCs w:val="20"/>
              </w:rPr>
            </w:pPr>
          </w:p>
        </w:tc>
        <w:tc>
          <w:tcPr>
            <w:tcW w:w="3544" w:type="dxa"/>
            <w:tcBorders>
              <w:top w:val="single" w:color="auto" w:sz="4" w:space="0"/>
              <w:left w:val="single" w:color="auto" w:sz="4" w:space="0"/>
              <w:bottom w:val="single" w:color="auto" w:sz="4" w:space="0"/>
              <w:right w:val="single" w:color="auto" w:sz="4" w:space="0"/>
            </w:tcBorders>
          </w:tcPr>
          <w:p w14:paraId="4877DBAB">
            <w:pPr>
              <w:snapToGrid w:val="0"/>
              <w:spacing w:before="156" w:beforeLines="50"/>
              <w:rPr>
                <w:rFonts w:ascii="仿宋_GB2312" w:hAnsi="宋体" w:eastAsia="仿宋_GB2312"/>
                <w:sz w:val="24"/>
                <w:szCs w:val="20"/>
              </w:rPr>
            </w:pPr>
          </w:p>
        </w:tc>
        <w:tc>
          <w:tcPr>
            <w:tcW w:w="1276" w:type="dxa"/>
            <w:tcBorders>
              <w:top w:val="single" w:color="auto" w:sz="4" w:space="0"/>
              <w:left w:val="single" w:color="auto" w:sz="4" w:space="0"/>
              <w:bottom w:val="single" w:color="auto" w:sz="4" w:space="0"/>
              <w:right w:val="single" w:color="auto" w:sz="4" w:space="0"/>
            </w:tcBorders>
          </w:tcPr>
          <w:p w14:paraId="3F8E82AF">
            <w:pPr>
              <w:snapToGrid w:val="0"/>
              <w:spacing w:before="156" w:beforeLines="50"/>
              <w:rPr>
                <w:rFonts w:ascii="仿宋_GB2312" w:hAnsi="宋体" w:eastAsia="仿宋_GB2312"/>
                <w:sz w:val="24"/>
                <w:szCs w:val="20"/>
              </w:rPr>
            </w:pPr>
          </w:p>
        </w:tc>
        <w:tc>
          <w:tcPr>
            <w:tcW w:w="2409" w:type="dxa"/>
            <w:tcBorders>
              <w:top w:val="single" w:color="auto" w:sz="4" w:space="0"/>
              <w:left w:val="single" w:color="auto" w:sz="4" w:space="0"/>
              <w:bottom w:val="single" w:color="auto" w:sz="4" w:space="0"/>
              <w:right w:val="single" w:color="auto" w:sz="4" w:space="0"/>
            </w:tcBorders>
          </w:tcPr>
          <w:p w14:paraId="2ABB6AC6">
            <w:pPr>
              <w:snapToGrid w:val="0"/>
              <w:spacing w:before="156" w:beforeLines="50"/>
              <w:rPr>
                <w:rFonts w:ascii="仿宋_GB2312" w:hAnsi="宋体" w:eastAsia="仿宋_GB2312"/>
                <w:sz w:val="24"/>
                <w:szCs w:val="20"/>
              </w:rPr>
            </w:pPr>
          </w:p>
        </w:tc>
      </w:tr>
    </w:tbl>
    <w:p w14:paraId="2D5FDE9B">
      <w:pPr>
        <w:rPr>
          <w:rFonts w:ascii="宋体" w:hAnsi="宋体"/>
          <w:sz w:val="24"/>
        </w:rPr>
      </w:pPr>
    </w:p>
    <w:p w14:paraId="2D333714">
      <w:pPr>
        <w:kinsoku w:val="0"/>
        <w:topLinePunct/>
        <w:snapToGrid w:val="0"/>
        <w:spacing w:line="520" w:lineRule="exact"/>
        <w:ind w:firstLine="480" w:firstLineChars="200"/>
        <w:rPr>
          <w:rFonts w:ascii="宋体" w:hAnsi="宋体" w:cs="宋体"/>
          <w:sz w:val="24"/>
        </w:rPr>
      </w:pPr>
      <w:r>
        <w:rPr>
          <w:rFonts w:hint="eastAsia" w:ascii="宋体" w:hAnsi="宋体" w:cs="宋体"/>
          <w:sz w:val="24"/>
        </w:rPr>
        <w:t xml:space="preserve">供应商：（盖章）             </w:t>
      </w:r>
    </w:p>
    <w:p w14:paraId="1002881D">
      <w:pPr>
        <w:kinsoku w:val="0"/>
        <w:topLinePunct/>
        <w:snapToGrid w:val="0"/>
        <w:spacing w:line="520" w:lineRule="exact"/>
        <w:ind w:firstLine="480" w:firstLineChars="200"/>
        <w:rPr>
          <w:rFonts w:ascii="宋体" w:hAnsi="宋体" w:cs="宋体"/>
          <w:sz w:val="24"/>
        </w:rPr>
      </w:pPr>
      <w:r>
        <w:rPr>
          <w:rFonts w:hint="eastAsia" w:ascii="宋体" w:hAnsi="宋体" w:cs="宋体"/>
          <w:sz w:val="24"/>
        </w:rPr>
        <w:t>法定代表人或被授权人（签字或盖章）：</w:t>
      </w:r>
    </w:p>
    <w:p w14:paraId="7772C83B">
      <w:pPr>
        <w:kinsoku w:val="0"/>
        <w:topLinePunct/>
        <w:snapToGrid w:val="0"/>
        <w:spacing w:line="520" w:lineRule="exact"/>
        <w:ind w:firstLine="480" w:firstLineChars="200"/>
        <w:rPr>
          <w:rFonts w:ascii="宋体" w:hAnsi="宋体" w:cs="宋体"/>
          <w:sz w:val="24"/>
        </w:rPr>
      </w:pPr>
      <w:r>
        <w:rPr>
          <w:rFonts w:hint="eastAsia" w:ascii="宋体" w:hAnsi="宋体" w:cs="宋体"/>
          <w:sz w:val="24"/>
        </w:rPr>
        <w:t>日期：</w:t>
      </w:r>
    </w:p>
    <w:p w14:paraId="203FB4CF">
      <w:pPr>
        <w:ind w:firstLine="482" w:firstLineChars="200"/>
        <w:rPr>
          <w:rFonts w:ascii="宋体" w:hAnsi="宋体"/>
          <w:b/>
          <w:sz w:val="24"/>
        </w:rPr>
      </w:pPr>
    </w:p>
    <w:p w14:paraId="4D0A0978">
      <w:pPr>
        <w:spacing w:line="480" w:lineRule="exact"/>
        <w:ind w:firstLine="482" w:firstLineChars="200"/>
        <w:rPr>
          <w:rFonts w:ascii="宋体" w:hAnsi="宋体"/>
          <w:b/>
          <w:sz w:val="24"/>
          <w:szCs w:val="21"/>
        </w:rPr>
      </w:pPr>
      <w:r>
        <w:rPr>
          <w:rFonts w:hint="eastAsia" w:ascii="宋体" w:hAnsi="宋体"/>
          <w:b/>
          <w:sz w:val="24"/>
        </w:rPr>
        <w:t>说明：</w:t>
      </w:r>
    </w:p>
    <w:p w14:paraId="6C963C62">
      <w:pPr>
        <w:spacing w:line="480" w:lineRule="exact"/>
        <w:ind w:firstLine="482" w:firstLineChars="200"/>
        <w:rPr>
          <w:rFonts w:ascii="宋体" w:hAnsi="宋体"/>
          <w:b/>
          <w:sz w:val="24"/>
          <w:szCs w:val="21"/>
        </w:rPr>
      </w:pPr>
      <w:r>
        <w:rPr>
          <w:rFonts w:hint="eastAsia" w:ascii="宋体" w:hAnsi="宋体"/>
          <w:b/>
          <w:sz w:val="24"/>
        </w:rPr>
        <w:t>1、不得出现本次磋商价格。</w:t>
      </w:r>
    </w:p>
    <w:p w14:paraId="00FC70BD">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24"/>
        </w:rPr>
        <w:t>4、供应商一般情况表</w:t>
      </w:r>
    </w:p>
    <w:tbl>
      <w:tblPr>
        <w:tblStyle w:val="36"/>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72969A2B">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22243A9">
            <w:pPr>
              <w:spacing w:line="360" w:lineRule="auto"/>
              <w:jc w:val="center"/>
              <w:rPr>
                <w:rFonts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tcPr>
          <w:p w14:paraId="524A60B5">
            <w:pPr>
              <w:spacing w:line="360" w:lineRule="auto"/>
              <w:rPr>
                <w:rFonts w:ascii="宋体" w:hAnsi="宋体" w:cs="宋体"/>
                <w:sz w:val="24"/>
              </w:rPr>
            </w:pPr>
          </w:p>
        </w:tc>
      </w:tr>
      <w:tr w14:paraId="088019E8">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00F5685">
            <w:pPr>
              <w:spacing w:line="360" w:lineRule="auto"/>
              <w:jc w:val="center"/>
              <w:rPr>
                <w:rFonts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tcPr>
          <w:p w14:paraId="58D96851">
            <w:pPr>
              <w:spacing w:line="360" w:lineRule="auto"/>
              <w:rPr>
                <w:rFonts w:ascii="宋体" w:hAnsi="宋体" w:cs="宋体"/>
                <w:sz w:val="24"/>
              </w:rPr>
            </w:pPr>
          </w:p>
        </w:tc>
      </w:tr>
      <w:tr w14:paraId="46F42E73">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0AAAC94">
            <w:pPr>
              <w:spacing w:line="360" w:lineRule="auto"/>
              <w:jc w:val="center"/>
              <w:rPr>
                <w:rFonts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tcPr>
          <w:p w14:paraId="1461CAEE">
            <w:pPr>
              <w:spacing w:line="360" w:lineRule="auto"/>
              <w:rPr>
                <w:rFonts w:ascii="宋体" w:hAnsi="宋体" w:cs="宋体"/>
                <w:sz w:val="24"/>
              </w:rPr>
            </w:pPr>
          </w:p>
        </w:tc>
      </w:tr>
      <w:tr w14:paraId="0C76AF23">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59DBB5E">
            <w:pPr>
              <w:spacing w:line="360" w:lineRule="auto"/>
              <w:jc w:val="center"/>
              <w:rPr>
                <w:rFonts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tcPr>
          <w:p w14:paraId="3FFC5A03">
            <w:pPr>
              <w:spacing w:line="360" w:lineRule="auto"/>
              <w:rPr>
                <w:rFonts w:ascii="宋体" w:hAnsi="宋体" w:cs="宋体"/>
                <w:sz w:val="24"/>
              </w:rPr>
            </w:pPr>
          </w:p>
        </w:tc>
      </w:tr>
      <w:tr w14:paraId="27F97DB7">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216AAE19">
            <w:pPr>
              <w:spacing w:line="360" w:lineRule="auto"/>
              <w:jc w:val="center"/>
              <w:rPr>
                <w:rFonts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tcPr>
          <w:p w14:paraId="31E5B1BD">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14:paraId="20386ADB">
            <w:pPr>
              <w:spacing w:line="360" w:lineRule="auto"/>
              <w:jc w:val="center"/>
              <w:rPr>
                <w:rFonts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tcPr>
          <w:p w14:paraId="611F5AE4">
            <w:pPr>
              <w:spacing w:line="360" w:lineRule="auto"/>
              <w:rPr>
                <w:rFonts w:ascii="宋体" w:hAnsi="宋体" w:cs="宋体"/>
                <w:sz w:val="24"/>
              </w:rPr>
            </w:pPr>
          </w:p>
        </w:tc>
      </w:tr>
      <w:tr w14:paraId="5AD52A6F">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03F1962A">
            <w:pPr>
              <w:spacing w:line="360" w:lineRule="auto"/>
              <w:jc w:val="center"/>
              <w:rPr>
                <w:rFonts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tcPr>
          <w:p w14:paraId="2A5AF2B8">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14:paraId="340966F0">
            <w:pPr>
              <w:spacing w:line="360" w:lineRule="auto"/>
              <w:jc w:val="center"/>
              <w:rPr>
                <w:rFonts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tcPr>
          <w:p w14:paraId="12AC2009">
            <w:pPr>
              <w:spacing w:line="360" w:lineRule="auto"/>
              <w:rPr>
                <w:rFonts w:ascii="宋体" w:hAnsi="宋体" w:cs="宋体"/>
                <w:sz w:val="24"/>
              </w:rPr>
            </w:pPr>
          </w:p>
        </w:tc>
      </w:tr>
      <w:tr w14:paraId="6D99FFF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F794E82">
            <w:pPr>
              <w:spacing w:line="360" w:lineRule="auto"/>
              <w:jc w:val="center"/>
              <w:rPr>
                <w:rFonts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tcPr>
          <w:p w14:paraId="25846022">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14:paraId="3B0B6B8E">
            <w:pPr>
              <w:spacing w:line="360" w:lineRule="auto"/>
              <w:jc w:val="center"/>
              <w:rPr>
                <w:rFonts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tcPr>
          <w:p w14:paraId="14C83DBD">
            <w:pPr>
              <w:spacing w:line="360" w:lineRule="auto"/>
              <w:rPr>
                <w:rFonts w:ascii="宋体" w:hAnsi="宋体" w:cs="宋体"/>
                <w:sz w:val="24"/>
              </w:rPr>
            </w:pPr>
          </w:p>
        </w:tc>
      </w:tr>
      <w:tr w14:paraId="01D7F8E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520D6C9">
            <w:pPr>
              <w:spacing w:line="360" w:lineRule="auto"/>
              <w:jc w:val="center"/>
              <w:rPr>
                <w:rFonts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tcPr>
          <w:p w14:paraId="63881A09">
            <w:pPr>
              <w:spacing w:line="360" w:lineRule="auto"/>
              <w:rPr>
                <w:rFonts w:ascii="宋体" w:hAnsi="宋体" w:cs="宋体"/>
                <w:sz w:val="24"/>
              </w:rPr>
            </w:pPr>
            <w:r>
              <w:rPr>
                <w:rFonts w:hint="eastAsia" w:ascii="宋体" w:hAnsi="宋体" w:cs="宋体"/>
                <w:sz w:val="24"/>
              </w:rPr>
              <w:t>公司具备的相关资质等级及相应的证书号</w:t>
            </w:r>
          </w:p>
          <w:p w14:paraId="1853E943">
            <w:pPr>
              <w:spacing w:line="360" w:lineRule="auto"/>
              <w:rPr>
                <w:rFonts w:ascii="宋体" w:hAnsi="宋体" w:cs="宋体"/>
                <w:sz w:val="24"/>
              </w:rPr>
            </w:pPr>
            <w:r>
              <w:rPr>
                <w:rFonts w:hint="eastAsia" w:ascii="宋体" w:hAnsi="宋体" w:cs="宋体"/>
                <w:sz w:val="24"/>
              </w:rPr>
              <w:t>（请附有关证书的复印件）</w:t>
            </w:r>
          </w:p>
        </w:tc>
      </w:tr>
      <w:tr w14:paraId="6A585AC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E44E225">
            <w:pPr>
              <w:spacing w:line="360" w:lineRule="auto"/>
              <w:jc w:val="center"/>
              <w:rPr>
                <w:rFonts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tcPr>
          <w:p w14:paraId="2842BB6D">
            <w:pPr>
              <w:spacing w:line="360" w:lineRule="auto"/>
              <w:rPr>
                <w:rFonts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14:paraId="35C8C13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C95018B">
            <w:pPr>
              <w:spacing w:line="360" w:lineRule="auto"/>
              <w:jc w:val="center"/>
              <w:rPr>
                <w:rFonts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tcPr>
          <w:p w14:paraId="4D56F766">
            <w:pPr>
              <w:spacing w:line="360" w:lineRule="auto"/>
              <w:jc w:val="center"/>
              <w:rPr>
                <w:rFonts w:ascii="宋体" w:hAnsi="宋体" w:cs="宋体"/>
                <w:sz w:val="24"/>
              </w:rPr>
            </w:pPr>
          </w:p>
        </w:tc>
        <w:tc>
          <w:tcPr>
            <w:tcW w:w="1417" w:type="dxa"/>
            <w:gridSpan w:val="2"/>
            <w:tcBorders>
              <w:top w:val="single" w:color="auto" w:sz="4" w:space="0"/>
              <w:left w:val="nil"/>
              <w:bottom w:val="single" w:color="auto" w:sz="4" w:space="0"/>
              <w:right w:val="single" w:color="auto" w:sz="4" w:space="0"/>
            </w:tcBorders>
          </w:tcPr>
          <w:p w14:paraId="533981B3">
            <w:pPr>
              <w:spacing w:line="360" w:lineRule="auto"/>
              <w:jc w:val="center"/>
              <w:rPr>
                <w:rFonts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tcPr>
          <w:p w14:paraId="7FEF3DB3">
            <w:pPr>
              <w:spacing w:line="360" w:lineRule="auto"/>
              <w:jc w:val="center"/>
              <w:rPr>
                <w:rFonts w:ascii="宋体" w:hAnsi="宋体" w:cs="宋体"/>
                <w:sz w:val="24"/>
              </w:rPr>
            </w:pPr>
          </w:p>
        </w:tc>
        <w:tc>
          <w:tcPr>
            <w:tcW w:w="1320" w:type="dxa"/>
            <w:tcBorders>
              <w:top w:val="single" w:color="auto" w:sz="4" w:space="0"/>
              <w:left w:val="nil"/>
              <w:bottom w:val="single" w:color="auto" w:sz="4" w:space="0"/>
              <w:right w:val="single" w:color="auto" w:sz="4" w:space="0"/>
            </w:tcBorders>
          </w:tcPr>
          <w:p w14:paraId="37AB0FA7">
            <w:pPr>
              <w:spacing w:line="360" w:lineRule="auto"/>
              <w:jc w:val="center"/>
              <w:rPr>
                <w:rFonts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tcPr>
          <w:p w14:paraId="5D1052A7">
            <w:pPr>
              <w:spacing w:line="360" w:lineRule="auto"/>
              <w:jc w:val="center"/>
              <w:rPr>
                <w:rFonts w:ascii="宋体" w:hAnsi="宋体" w:cs="宋体"/>
                <w:sz w:val="24"/>
              </w:rPr>
            </w:pPr>
          </w:p>
        </w:tc>
      </w:tr>
      <w:tr w14:paraId="0FC379C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7AD535E">
            <w:pPr>
              <w:spacing w:line="360" w:lineRule="auto"/>
              <w:jc w:val="center"/>
              <w:rPr>
                <w:rFonts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tcPr>
          <w:p w14:paraId="141F1CC9">
            <w:pPr>
              <w:spacing w:line="360" w:lineRule="auto"/>
              <w:rPr>
                <w:rFonts w:ascii="宋体" w:hAnsi="宋体" w:cs="宋体"/>
                <w:sz w:val="24"/>
              </w:rPr>
            </w:pPr>
          </w:p>
        </w:tc>
        <w:tc>
          <w:tcPr>
            <w:tcW w:w="1466" w:type="dxa"/>
            <w:gridSpan w:val="2"/>
            <w:tcBorders>
              <w:top w:val="single" w:color="auto" w:sz="4" w:space="0"/>
              <w:left w:val="nil"/>
              <w:bottom w:val="single" w:color="auto" w:sz="4" w:space="0"/>
              <w:right w:val="single" w:color="auto" w:sz="4" w:space="0"/>
            </w:tcBorders>
          </w:tcPr>
          <w:p w14:paraId="19EE1E11">
            <w:pPr>
              <w:spacing w:line="360" w:lineRule="auto"/>
              <w:rPr>
                <w:rFonts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tcPr>
          <w:p w14:paraId="384B59E9">
            <w:pPr>
              <w:spacing w:line="360" w:lineRule="auto"/>
              <w:rPr>
                <w:rFonts w:ascii="宋体" w:hAnsi="宋体" w:cs="宋体"/>
                <w:sz w:val="24"/>
              </w:rPr>
            </w:pPr>
          </w:p>
        </w:tc>
      </w:tr>
      <w:tr w14:paraId="5516D1A4">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2A06E27">
            <w:pPr>
              <w:spacing w:line="360" w:lineRule="auto"/>
              <w:jc w:val="center"/>
              <w:rPr>
                <w:rFonts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tcPr>
          <w:p w14:paraId="5049B5D2">
            <w:pPr>
              <w:spacing w:line="360" w:lineRule="auto"/>
              <w:rPr>
                <w:rFonts w:ascii="宋体" w:hAnsi="宋体" w:cs="宋体"/>
                <w:sz w:val="24"/>
              </w:rPr>
            </w:pPr>
            <w:r>
              <w:rPr>
                <w:rFonts w:hint="eastAsia" w:ascii="宋体" w:hAnsi="宋体" w:cs="宋体"/>
                <w:sz w:val="24"/>
              </w:rPr>
              <w:t>营业执照载明：</w:t>
            </w:r>
          </w:p>
          <w:p w14:paraId="134AFC46">
            <w:pPr>
              <w:spacing w:line="360" w:lineRule="auto"/>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                                               </w:t>
            </w:r>
          </w:p>
          <w:p w14:paraId="403525F1">
            <w:pPr>
              <w:spacing w:line="360" w:lineRule="auto"/>
              <w:rPr>
                <w:rFonts w:ascii="宋体" w:hAnsi="宋体" w:cs="宋体"/>
                <w:sz w:val="24"/>
                <w:u w:val="single"/>
              </w:rPr>
            </w:pPr>
            <w:r>
              <w:rPr>
                <w:rFonts w:hint="eastAsia" w:ascii="宋体" w:hAnsi="宋体" w:cs="宋体"/>
                <w:sz w:val="24"/>
              </w:rPr>
              <w:t>2.</w:t>
            </w:r>
            <w:r>
              <w:rPr>
                <w:rFonts w:hint="eastAsia" w:ascii="宋体" w:hAnsi="宋体" w:cs="宋体"/>
                <w:sz w:val="24"/>
                <w:u w:val="single"/>
              </w:rPr>
              <w:t xml:space="preserve">                                               </w:t>
            </w:r>
          </w:p>
          <w:p w14:paraId="0DC779FD">
            <w:pPr>
              <w:spacing w:line="360" w:lineRule="auto"/>
              <w:rPr>
                <w:rFonts w:ascii="宋体" w:hAnsi="宋体" w:cs="宋体"/>
                <w:sz w:val="24"/>
                <w:u w:val="single"/>
              </w:rPr>
            </w:pPr>
            <w:r>
              <w:rPr>
                <w:rFonts w:hint="eastAsia" w:ascii="宋体" w:hAnsi="宋体" w:cs="宋体"/>
                <w:sz w:val="24"/>
              </w:rPr>
              <w:t>3.</w:t>
            </w:r>
            <w:r>
              <w:rPr>
                <w:rFonts w:hint="eastAsia" w:ascii="宋体" w:hAnsi="宋体" w:cs="宋体"/>
                <w:sz w:val="24"/>
                <w:u w:val="single"/>
              </w:rPr>
              <w:t xml:space="preserve">                                               </w:t>
            </w:r>
          </w:p>
          <w:p w14:paraId="6B2A4887">
            <w:pPr>
              <w:spacing w:line="360" w:lineRule="auto"/>
              <w:rPr>
                <w:rFonts w:ascii="宋体" w:hAnsi="宋体" w:cs="宋体"/>
                <w:sz w:val="24"/>
              </w:rPr>
            </w:pPr>
            <w:r>
              <w:rPr>
                <w:rFonts w:hint="eastAsia" w:ascii="宋体" w:hAnsi="宋体" w:cs="宋体"/>
                <w:sz w:val="24"/>
              </w:rPr>
              <w:t>………………………</w:t>
            </w:r>
          </w:p>
        </w:tc>
      </w:tr>
      <w:tr w14:paraId="4B6DBE7A">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0F4DBFC3">
            <w:pPr>
              <w:spacing w:line="360" w:lineRule="auto"/>
              <w:rPr>
                <w:rFonts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2F2F62D5">
            <w:pPr>
              <w:spacing w:line="360" w:lineRule="auto"/>
              <w:rPr>
                <w:rFonts w:ascii="宋体" w:hAnsi="宋体" w:cs="宋体"/>
                <w:sz w:val="24"/>
              </w:rPr>
            </w:pPr>
          </w:p>
        </w:tc>
      </w:tr>
      <w:tr w14:paraId="62449B2C">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5D8DBB1C">
            <w:pPr>
              <w:spacing w:line="360" w:lineRule="auto"/>
              <w:rPr>
                <w:rFonts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5BDD95D2">
            <w:pPr>
              <w:spacing w:line="360" w:lineRule="auto"/>
              <w:rPr>
                <w:rFonts w:ascii="宋体" w:hAnsi="宋体" w:cs="宋体"/>
                <w:sz w:val="24"/>
              </w:rPr>
            </w:pPr>
          </w:p>
        </w:tc>
      </w:tr>
    </w:tbl>
    <w:p w14:paraId="181175E0">
      <w:pPr>
        <w:spacing w:line="360" w:lineRule="auto"/>
        <w:ind w:firstLine="480" w:firstLineChars="200"/>
        <w:jc w:val="right"/>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（加盖公章）</w:t>
      </w:r>
    </w:p>
    <w:p w14:paraId="3665525F">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374AA228">
      <w:pPr>
        <w:spacing w:line="360" w:lineRule="auto"/>
        <w:ind w:firstLine="1320" w:firstLineChars="550"/>
        <w:jc w:val="right"/>
        <w:rPr>
          <w:rFonts w:ascii="宋体" w:hAnsi="宋体" w:cs="宋体"/>
          <w:sz w:val="24"/>
        </w:rPr>
      </w:pPr>
      <w:r>
        <w:rPr>
          <w:rFonts w:hint="eastAsia" w:ascii="宋体" w:hAnsi="宋体" w:cs="宋体"/>
          <w:sz w:val="24"/>
        </w:rPr>
        <w:t>年      月     日</w:t>
      </w:r>
    </w:p>
    <w:p w14:paraId="7EA18998">
      <w:pPr>
        <w:snapToGrid w:val="0"/>
        <w:spacing w:line="360" w:lineRule="auto"/>
        <w:jc w:val="center"/>
        <w:outlineLvl w:val="4"/>
        <w:rPr>
          <w:rFonts w:ascii="宋体" w:hAnsi="宋体" w:cs="宋体"/>
          <w:b/>
          <w:bCs/>
          <w:sz w:val="24"/>
        </w:rPr>
      </w:pPr>
    </w:p>
    <w:p w14:paraId="54ADFF22">
      <w:pPr>
        <w:spacing w:line="500" w:lineRule="exact"/>
        <w:ind w:firstLine="482" w:firstLineChars="200"/>
        <w:contextualSpacing/>
        <w:jc w:val="center"/>
        <w:rPr>
          <w:rFonts w:ascii="宋体" w:hAnsi="宋体" w:cs="宋体"/>
          <w:sz w:val="24"/>
          <w:szCs w:val="21"/>
        </w:rPr>
      </w:pPr>
      <w:r>
        <w:rPr>
          <w:rFonts w:hint="eastAsia" w:ascii="宋体" w:hAnsi="宋体" w:cs="宋体"/>
          <w:b/>
          <w:bCs/>
          <w:sz w:val="24"/>
          <w:szCs w:val="21"/>
        </w:rPr>
        <w:t>5、其他格式（如有）</w:t>
      </w:r>
    </w:p>
    <w:p w14:paraId="6595112C">
      <w:pPr>
        <w:spacing w:line="520" w:lineRule="exact"/>
        <w:rPr>
          <w:rFonts w:ascii="宋体" w:hAnsi="宋体" w:cs="宋体"/>
          <w:b/>
          <w:sz w:val="24"/>
        </w:rPr>
      </w:pPr>
      <w:r>
        <w:rPr>
          <w:rFonts w:hint="eastAsia" w:ascii="宋体" w:hAnsi="宋体" w:cs="宋体"/>
          <w:b/>
          <w:bCs/>
          <w:sz w:val="24"/>
        </w:rPr>
        <w:t>三、</w:t>
      </w:r>
      <w:r>
        <w:rPr>
          <w:rFonts w:hint="eastAsia" w:ascii="宋体" w:hAnsi="宋体" w:cs="宋体"/>
          <w:b/>
          <w:sz w:val="24"/>
        </w:rPr>
        <w:t>价格标文件相关的格式文件及表格</w:t>
      </w:r>
    </w:p>
    <w:p w14:paraId="3CFDB007">
      <w:pPr>
        <w:snapToGrid w:val="0"/>
        <w:spacing w:line="500" w:lineRule="exact"/>
        <w:jc w:val="center"/>
        <w:outlineLvl w:val="2"/>
        <w:rPr>
          <w:b/>
          <w:sz w:val="28"/>
          <w:szCs w:val="28"/>
        </w:rPr>
      </w:pPr>
    </w:p>
    <w:p w14:paraId="059F5893">
      <w:pPr>
        <w:snapToGrid w:val="0"/>
        <w:spacing w:line="500" w:lineRule="exact"/>
        <w:jc w:val="center"/>
        <w:outlineLvl w:val="2"/>
        <w:rPr>
          <w:b/>
          <w:sz w:val="28"/>
          <w:szCs w:val="28"/>
        </w:rPr>
      </w:pPr>
      <w:r>
        <w:rPr>
          <w:rFonts w:hint="eastAsia"/>
          <w:b/>
          <w:sz w:val="28"/>
          <w:szCs w:val="28"/>
        </w:rPr>
        <w:t>1、</w:t>
      </w:r>
      <w:r>
        <w:rPr>
          <w:b/>
          <w:sz w:val="28"/>
          <w:szCs w:val="28"/>
        </w:rPr>
        <w:t>磋商报价总表</w:t>
      </w:r>
    </w:p>
    <w:p w14:paraId="681E3570">
      <w:pPr>
        <w:snapToGrid w:val="0"/>
        <w:spacing w:line="500" w:lineRule="exact"/>
        <w:jc w:val="center"/>
        <w:outlineLvl w:val="2"/>
        <w:rPr>
          <w:b/>
          <w:sz w:val="28"/>
          <w:szCs w:val="28"/>
        </w:rPr>
      </w:pPr>
    </w:p>
    <w:tbl>
      <w:tblPr>
        <w:tblStyle w:val="36"/>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09FD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016B3133">
            <w:pPr>
              <w:kinsoku w:val="0"/>
              <w:topLinePunct/>
              <w:snapToGrid w:val="0"/>
              <w:spacing w:line="520" w:lineRule="exact"/>
              <w:jc w:val="center"/>
              <w:rPr>
                <w:rFonts w:ascii="宋体" w:hAnsi="宋体"/>
                <w:sz w:val="24"/>
              </w:rPr>
            </w:pPr>
            <w:r>
              <w:rPr>
                <w:rFonts w:hint="eastAsia" w:ascii="宋体" w:hAnsi="宋体" w:cs="宋体"/>
                <w:sz w:val="24"/>
              </w:rPr>
              <w:t>项目名称</w:t>
            </w:r>
          </w:p>
        </w:tc>
        <w:tc>
          <w:tcPr>
            <w:tcW w:w="5997" w:type="dxa"/>
            <w:vAlign w:val="center"/>
          </w:tcPr>
          <w:p w14:paraId="476BAAEF">
            <w:pPr>
              <w:kinsoku w:val="0"/>
              <w:topLinePunct/>
              <w:snapToGrid w:val="0"/>
              <w:spacing w:line="520" w:lineRule="exact"/>
              <w:rPr>
                <w:rFonts w:ascii="宋体" w:hAnsi="宋体"/>
                <w:strike/>
                <w:sz w:val="24"/>
              </w:rPr>
            </w:pPr>
          </w:p>
        </w:tc>
      </w:tr>
      <w:tr w14:paraId="2FE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7D21EDFB">
            <w:pPr>
              <w:kinsoku w:val="0"/>
              <w:topLinePunct/>
              <w:snapToGrid w:val="0"/>
              <w:spacing w:line="520" w:lineRule="exact"/>
              <w:jc w:val="center"/>
              <w:rPr>
                <w:rFonts w:ascii="宋体" w:hAnsi="宋体"/>
                <w:sz w:val="24"/>
              </w:rPr>
            </w:pPr>
            <w:r>
              <w:rPr>
                <w:rFonts w:hint="eastAsia" w:ascii="宋体" w:hAnsi="宋体" w:cs="宋体"/>
                <w:sz w:val="24"/>
              </w:rPr>
              <w:t>项目编号</w:t>
            </w:r>
          </w:p>
        </w:tc>
        <w:tc>
          <w:tcPr>
            <w:tcW w:w="5997" w:type="dxa"/>
            <w:vAlign w:val="center"/>
          </w:tcPr>
          <w:p w14:paraId="7786D9E6">
            <w:pPr>
              <w:kinsoku w:val="0"/>
              <w:topLinePunct/>
              <w:snapToGrid w:val="0"/>
              <w:spacing w:line="520" w:lineRule="exact"/>
              <w:rPr>
                <w:rFonts w:ascii="宋体" w:hAnsi="宋体"/>
                <w:sz w:val="24"/>
              </w:rPr>
            </w:pPr>
          </w:p>
        </w:tc>
      </w:tr>
      <w:tr w14:paraId="28FC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5FDED5D4">
            <w:pPr>
              <w:kinsoku w:val="0"/>
              <w:topLinePunct/>
              <w:snapToGrid w:val="0"/>
              <w:spacing w:line="520" w:lineRule="exact"/>
              <w:jc w:val="center"/>
              <w:rPr>
                <w:rFonts w:ascii="宋体" w:hAnsi="宋体"/>
                <w:sz w:val="24"/>
              </w:rPr>
            </w:pPr>
            <w:r>
              <w:rPr>
                <w:rFonts w:hint="eastAsia" w:ascii="宋体" w:hAnsi="宋体" w:cs="宋体"/>
                <w:sz w:val="24"/>
              </w:rPr>
              <w:t>磋商报价总计</w:t>
            </w:r>
          </w:p>
        </w:tc>
        <w:tc>
          <w:tcPr>
            <w:tcW w:w="5997" w:type="dxa"/>
            <w:vAlign w:val="center"/>
          </w:tcPr>
          <w:p w14:paraId="5AB719CC">
            <w:pPr>
              <w:kinsoku w:val="0"/>
              <w:topLinePunct/>
              <w:snapToGrid w:val="0"/>
              <w:spacing w:line="520" w:lineRule="exact"/>
              <w:rPr>
                <w:rFonts w:ascii="宋体" w:hAnsi="宋体" w:cs="宋体"/>
                <w:sz w:val="24"/>
              </w:rPr>
            </w:pPr>
            <w:r>
              <w:rPr>
                <w:rFonts w:ascii="宋体" w:hAnsi="宋体"/>
                <w:sz w:val="24"/>
              </w:rPr>
              <w:t>¥</w:t>
            </w:r>
            <w:r>
              <w:rPr>
                <w:rFonts w:hint="eastAsia" w:ascii="宋体" w:hAnsi="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w:t>
            </w:r>
          </w:p>
        </w:tc>
      </w:tr>
    </w:tbl>
    <w:p w14:paraId="5D13B8BB">
      <w:pPr>
        <w:kinsoku w:val="0"/>
        <w:topLinePunct/>
        <w:snapToGrid w:val="0"/>
        <w:spacing w:line="520" w:lineRule="exact"/>
        <w:rPr>
          <w:rFonts w:ascii="宋体" w:hAnsi="宋体" w:cs="宋体"/>
          <w:sz w:val="24"/>
        </w:rPr>
      </w:pPr>
    </w:p>
    <w:p w14:paraId="49107AE1">
      <w:pPr>
        <w:kinsoku w:val="0"/>
        <w:topLinePunct/>
        <w:snapToGrid w:val="0"/>
        <w:spacing w:line="520" w:lineRule="exact"/>
        <w:rPr>
          <w:rFonts w:ascii="宋体"/>
          <w:sz w:val="24"/>
        </w:rPr>
      </w:pPr>
      <w:r>
        <w:rPr>
          <w:rFonts w:hint="eastAsia" w:ascii="宋体" w:hAnsi="宋体" w:cs="宋体"/>
          <w:sz w:val="24"/>
        </w:rPr>
        <w:t>竞争性磋商响应单位：（盖章）</w:t>
      </w:r>
    </w:p>
    <w:p w14:paraId="7D5A3A45">
      <w:pPr>
        <w:kinsoku w:val="0"/>
        <w:topLinePunct/>
        <w:snapToGrid w:val="0"/>
        <w:spacing w:line="520" w:lineRule="exact"/>
        <w:rPr>
          <w:rFonts w:ascii="宋体"/>
          <w:sz w:val="24"/>
        </w:rPr>
      </w:pPr>
      <w:r>
        <w:rPr>
          <w:rFonts w:hint="eastAsia" w:ascii="宋体" w:hAnsi="宋体" w:cs="宋体"/>
          <w:sz w:val="24"/>
        </w:rPr>
        <w:t>法定代表人或被授权人（签字或盖章）：</w:t>
      </w:r>
    </w:p>
    <w:p w14:paraId="6C7FA1B3">
      <w:pPr>
        <w:kinsoku w:val="0"/>
        <w:topLinePunct/>
        <w:snapToGrid w:val="0"/>
        <w:spacing w:line="520" w:lineRule="exact"/>
        <w:rPr>
          <w:rFonts w:ascii="宋体"/>
          <w:sz w:val="24"/>
        </w:rPr>
      </w:pPr>
      <w:r>
        <w:rPr>
          <w:rFonts w:hint="eastAsia" w:ascii="宋体" w:hAnsi="宋体" w:cs="宋体"/>
          <w:sz w:val="24"/>
        </w:rPr>
        <w:t>日期：</w:t>
      </w:r>
    </w:p>
    <w:p w14:paraId="6B1DBDB6">
      <w:pPr>
        <w:spacing w:after="156"/>
        <w:ind w:firstLine="480" w:firstLineChars="200"/>
        <w:rPr>
          <w:rFonts w:ascii="Calibri" w:hAnsi="Calibri"/>
          <w:sz w:val="24"/>
        </w:rPr>
      </w:pPr>
    </w:p>
    <w:p w14:paraId="32E4B3BC">
      <w:pPr>
        <w:snapToGrid w:val="0"/>
        <w:spacing w:line="480" w:lineRule="exact"/>
        <w:ind w:firstLine="482" w:firstLineChars="200"/>
        <w:jc w:val="left"/>
        <w:rPr>
          <w:rFonts w:ascii="宋体"/>
          <w:b/>
          <w:bCs/>
          <w:sz w:val="24"/>
        </w:rPr>
      </w:pPr>
      <w:r>
        <w:rPr>
          <w:rFonts w:hint="eastAsia" w:ascii="宋体" w:hAnsi="宋体" w:cs="宋体"/>
          <w:b/>
          <w:bCs/>
          <w:sz w:val="24"/>
        </w:rPr>
        <w:t>注：（</w:t>
      </w:r>
      <w:r>
        <w:rPr>
          <w:rFonts w:ascii="宋体" w:hAnsi="宋体" w:cs="宋体"/>
          <w:b/>
          <w:bCs/>
          <w:sz w:val="24"/>
        </w:rPr>
        <w:t>1</w:t>
      </w:r>
      <w:r>
        <w:rPr>
          <w:rFonts w:hint="eastAsia" w:ascii="宋体" w:hAnsi="宋体" w:cs="宋体"/>
          <w:b/>
          <w:bCs/>
          <w:sz w:val="24"/>
        </w:rPr>
        <w:t>）本表为格式表，不得自行改动，必须提供。</w:t>
      </w:r>
    </w:p>
    <w:p w14:paraId="4C4C02D7">
      <w:pPr>
        <w:numPr>
          <w:ilvl w:val="0"/>
          <w:numId w:val="7"/>
        </w:numPr>
        <w:snapToGrid w:val="0"/>
        <w:spacing w:line="480" w:lineRule="exact"/>
        <w:ind w:firstLine="472" w:firstLineChars="196"/>
        <w:jc w:val="left"/>
        <w:outlineLvl w:val="2"/>
        <w:rPr>
          <w:rFonts w:ascii="宋体" w:hAnsi="宋体" w:cs="宋体"/>
          <w:b/>
          <w:bCs/>
          <w:sz w:val="24"/>
        </w:rPr>
      </w:pPr>
      <w:r>
        <w:rPr>
          <w:rFonts w:hint="eastAsia" w:ascii="宋体" w:hAnsi="宋体" w:cs="宋体"/>
          <w:b/>
          <w:bCs/>
          <w:sz w:val="24"/>
        </w:rPr>
        <w:t>第二次及之后的报价将在开标现场填写，响应文件密封提交时只需填写磋商响应报价表（首次）的报价。</w:t>
      </w:r>
    </w:p>
    <w:p w14:paraId="1DA31E17">
      <w:pPr>
        <w:numPr>
          <w:ilvl w:val="255"/>
          <w:numId w:val="0"/>
        </w:numPr>
        <w:snapToGrid w:val="0"/>
        <w:spacing w:before="164" w:line="480" w:lineRule="exact"/>
        <w:ind w:firstLine="482" w:firstLineChars="200"/>
        <w:jc w:val="left"/>
        <w:outlineLvl w:val="2"/>
        <w:rPr>
          <w:rFonts w:ascii="宋体" w:hAnsi="宋体" w:cs="宋体"/>
          <w:b/>
          <w:bCs/>
          <w:sz w:val="24"/>
        </w:rPr>
      </w:pPr>
      <w:r>
        <w:rPr>
          <w:rFonts w:hint="eastAsia" w:ascii="宋体" w:hAnsi="宋体" w:cs="宋体"/>
          <w:b/>
          <w:bCs/>
          <w:sz w:val="24"/>
        </w:rPr>
        <w:t>（3）第二次（最终）报价表格式详见下表格3、磋商响应报价（最终）总表，供应商自行下载打印，用于开标当天填写。</w:t>
      </w:r>
    </w:p>
    <w:p w14:paraId="0CFCA6FC">
      <w:pPr>
        <w:pStyle w:val="35"/>
        <w:ind w:left="412" w:leftChars="196" w:firstLine="0" w:firstLineChars="0"/>
      </w:pPr>
    </w:p>
    <w:p w14:paraId="28771AA2">
      <w:pPr>
        <w:pStyle w:val="132"/>
        <w:snapToGrid w:val="0"/>
        <w:spacing w:line="360" w:lineRule="auto"/>
        <w:ind w:firstLine="480" w:firstLineChars="200"/>
        <w:contextualSpacing/>
        <w:rPr>
          <w:rFonts w:ascii="Times New Roman" w:hAnsi="Times New Roman" w:cs="Times New Roman"/>
        </w:rPr>
      </w:pPr>
    </w:p>
    <w:p w14:paraId="6409171A">
      <w:pPr>
        <w:pStyle w:val="132"/>
        <w:snapToGrid w:val="0"/>
        <w:spacing w:line="360" w:lineRule="auto"/>
        <w:ind w:firstLine="480" w:firstLineChars="200"/>
        <w:contextualSpacing/>
        <w:rPr>
          <w:rFonts w:ascii="Times New Roman" w:hAnsi="Times New Roman" w:cs="Times New Roman"/>
        </w:rPr>
      </w:pPr>
    </w:p>
    <w:p w14:paraId="66B4AA4D">
      <w:pPr>
        <w:snapToGrid w:val="0"/>
        <w:spacing w:line="520" w:lineRule="exact"/>
        <w:rPr>
          <w:rFonts w:ascii="宋体" w:hAnsi="宋体" w:cs="宋体"/>
          <w:b/>
          <w:sz w:val="24"/>
          <w:szCs w:val="21"/>
        </w:rPr>
      </w:pPr>
      <w:r>
        <w:rPr>
          <w:rFonts w:ascii="宋体" w:hAnsi="宋体" w:cs="宋体"/>
          <w:b/>
          <w:sz w:val="24"/>
          <w:szCs w:val="21"/>
        </w:rPr>
        <w:br w:type="page"/>
      </w:r>
    </w:p>
    <w:p w14:paraId="6CAB5FEF">
      <w:pPr>
        <w:numPr>
          <w:ilvl w:val="0"/>
          <w:numId w:val="8"/>
        </w:numPr>
        <w:snapToGrid w:val="0"/>
        <w:spacing w:line="500" w:lineRule="exact"/>
        <w:ind w:firstLine="689" w:firstLineChars="245"/>
        <w:jc w:val="center"/>
        <w:rPr>
          <w:rFonts w:ascii="宋体" w:hAnsi="宋体" w:cs="宋体"/>
          <w:b/>
          <w:sz w:val="28"/>
          <w:szCs w:val="28"/>
        </w:rPr>
      </w:pPr>
      <w:r>
        <w:rPr>
          <w:rFonts w:hint="eastAsia" w:ascii="宋体" w:hAnsi="宋体" w:cs="宋体"/>
          <w:b/>
          <w:sz w:val="28"/>
          <w:szCs w:val="28"/>
        </w:rPr>
        <w:t>磋商</w:t>
      </w:r>
      <w:r>
        <w:rPr>
          <w:rFonts w:ascii="宋体" w:hAnsi="宋体" w:cs="宋体"/>
          <w:b/>
          <w:sz w:val="28"/>
          <w:szCs w:val="28"/>
        </w:rPr>
        <w:t>报价明细表</w:t>
      </w:r>
      <w:r>
        <w:rPr>
          <w:rFonts w:hint="eastAsia" w:ascii="宋体" w:hAnsi="宋体" w:cs="宋体"/>
          <w:b/>
          <w:sz w:val="28"/>
          <w:szCs w:val="28"/>
        </w:rPr>
        <w:t>（供应商自拟）</w:t>
      </w:r>
    </w:p>
    <w:p w14:paraId="4E58D9C2">
      <w:pPr>
        <w:snapToGrid w:val="0"/>
        <w:spacing w:line="500" w:lineRule="exact"/>
        <w:ind w:firstLine="590" w:firstLineChars="245"/>
        <w:jc w:val="center"/>
        <w:rPr>
          <w:rFonts w:ascii="宋体" w:hAnsi="宋体" w:cs="宋体"/>
          <w:b/>
          <w:sz w:val="24"/>
          <w:szCs w:val="21"/>
        </w:rPr>
      </w:pPr>
    </w:p>
    <w:p w14:paraId="09D7BB4A">
      <w:pPr>
        <w:snapToGrid w:val="0"/>
        <w:spacing w:line="500" w:lineRule="exact"/>
        <w:rPr>
          <w:rFonts w:ascii="宋体" w:hAnsi="宋体" w:cs="宋体"/>
          <w:sz w:val="24"/>
          <w:szCs w:val="21"/>
        </w:rPr>
      </w:pPr>
    </w:p>
    <w:p w14:paraId="1A20E5EA">
      <w:pPr>
        <w:kinsoku w:val="0"/>
        <w:topLinePunct/>
        <w:snapToGrid w:val="0"/>
        <w:spacing w:line="520" w:lineRule="exac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5CAB8B2A">
      <w:pPr>
        <w:kinsoku w:val="0"/>
        <w:topLinePunct/>
        <w:snapToGrid w:val="0"/>
        <w:spacing w:line="520" w:lineRule="exact"/>
        <w:rPr>
          <w:rFonts w:ascii="宋体"/>
          <w:sz w:val="24"/>
        </w:rPr>
      </w:pPr>
      <w:r>
        <w:rPr>
          <w:rFonts w:hint="eastAsia" w:ascii="宋体" w:hAnsi="宋体" w:cs="宋体"/>
          <w:sz w:val="24"/>
        </w:rPr>
        <w:t>竞争性磋商响应单位：（盖章）</w:t>
      </w:r>
    </w:p>
    <w:p w14:paraId="0C0DF4C9">
      <w:pPr>
        <w:kinsoku w:val="0"/>
        <w:topLinePunct/>
        <w:snapToGrid w:val="0"/>
        <w:spacing w:line="520" w:lineRule="exact"/>
        <w:rPr>
          <w:rFonts w:ascii="宋体"/>
          <w:sz w:val="24"/>
        </w:rPr>
      </w:pPr>
      <w:r>
        <w:rPr>
          <w:rFonts w:hint="eastAsia" w:ascii="宋体" w:hAnsi="宋体" w:cs="宋体"/>
          <w:sz w:val="24"/>
        </w:rPr>
        <w:t>法定代表人或被授权人（签字或盖章）：</w:t>
      </w:r>
    </w:p>
    <w:p w14:paraId="42859172">
      <w:pPr>
        <w:kinsoku w:val="0"/>
        <w:topLinePunct/>
        <w:snapToGrid w:val="0"/>
        <w:spacing w:line="520" w:lineRule="exact"/>
        <w:rPr>
          <w:rFonts w:ascii="宋体"/>
          <w:sz w:val="24"/>
        </w:rPr>
      </w:pPr>
      <w:r>
        <w:rPr>
          <w:rFonts w:hint="eastAsia" w:ascii="宋体" w:hAnsi="宋体" w:cs="宋体"/>
          <w:sz w:val="24"/>
        </w:rPr>
        <w:t>日期：</w:t>
      </w:r>
    </w:p>
    <w:p w14:paraId="160C4151"/>
    <w:p w14:paraId="37D91187"/>
    <w:p w14:paraId="61403CF5"/>
    <w:p w14:paraId="0E21795A"/>
    <w:p w14:paraId="54A7A9F8"/>
    <w:p w14:paraId="497B77CF"/>
    <w:p w14:paraId="14F1EDB0"/>
    <w:p w14:paraId="58D8649D">
      <w:pPr>
        <w:snapToGrid w:val="0"/>
        <w:spacing w:line="360" w:lineRule="auto"/>
        <w:ind w:left="984" w:hanging="984" w:hangingChars="350"/>
        <w:jc w:val="center"/>
        <w:rPr>
          <w:b/>
          <w:kern w:val="44"/>
          <w:sz w:val="28"/>
          <w:szCs w:val="28"/>
        </w:rPr>
      </w:pPr>
    </w:p>
    <w:p w14:paraId="6DB19ED9">
      <w:pPr>
        <w:snapToGrid w:val="0"/>
        <w:spacing w:line="360" w:lineRule="auto"/>
        <w:ind w:left="984" w:hanging="984" w:hangingChars="350"/>
        <w:jc w:val="center"/>
        <w:rPr>
          <w:b/>
          <w:kern w:val="44"/>
          <w:sz w:val="28"/>
          <w:szCs w:val="28"/>
        </w:rPr>
      </w:pPr>
    </w:p>
    <w:p w14:paraId="56E43BEC">
      <w:pPr>
        <w:snapToGrid w:val="0"/>
        <w:spacing w:line="360" w:lineRule="auto"/>
        <w:ind w:left="984" w:hanging="984" w:hangingChars="350"/>
        <w:jc w:val="center"/>
        <w:rPr>
          <w:b/>
          <w:kern w:val="44"/>
          <w:sz w:val="28"/>
          <w:szCs w:val="28"/>
        </w:rPr>
      </w:pPr>
    </w:p>
    <w:p w14:paraId="11B29A45">
      <w:pPr>
        <w:snapToGrid w:val="0"/>
        <w:spacing w:line="360" w:lineRule="auto"/>
        <w:ind w:left="984" w:hanging="984" w:hangingChars="350"/>
        <w:jc w:val="center"/>
        <w:rPr>
          <w:b/>
          <w:kern w:val="44"/>
          <w:sz w:val="28"/>
          <w:szCs w:val="28"/>
        </w:rPr>
      </w:pPr>
    </w:p>
    <w:p w14:paraId="796CB201">
      <w:pPr>
        <w:pStyle w:val="35"/>
        <w:ind w:firstLine="562"/>
        <w:rPr>
          <w:b/>
          <w:kern w:val="44"/>
          <w:sz w:val="28"/>
          <w:szCs w:val="28"/>
        </w:rPr>
      </w:pPr>
    </w:p>
    <w:p w14:paraId="5E502890">
      <w:pPr>
        <w:pStyle w:val="28"/>
        <w:rPr>
          <w:b/>
          <w:kern w:val="44"/>
          <w:sz w:val="28"/>
          <w:szCs w:val="28"/>
        </w:rPr>
      </w:pPr>
    </w:p>
    <w:p w14:paraId="114985B1">
      <w:pPr>
        <w:pStyle w:val="28"/>
        <w:rPr>
          <w:b/>
          <w:kern w:val="44"/>
          <w:sz w:val="28"/>
          <w:szCs w:val="28"/>
        </w:rPr>
      </w:pPr>
    </w:p>
    <w:p w14:paraId="1116F077">
      <w:pPr>
        <w:pStyle w:val="28"/>
        <w:rPr>
          <w:b/>
          <w:kern w:val="44"/>
          <w:sz w:val="28"/>
          <w:szCs w:val="28"/>
        </w:rPr>
      </w:pPr>
    </w:p>
    <w:p w14:paraId="5F8B8894">
      <w:pPr>
        <w:pStyle w:val="28"/>
        <w:rPr>
          <w:b/>
          <w:kern w:val="44"/>
          <w:sz w:val="28"/>
          <w:szCs w:val="28"/>
        </w:rPr>
      </w:pPr>
    </w:p>
    <w:p w14:paraId="71D86F61">
      <w:pPr>
        <w:pStyle w:val="28"/>
        <w:rPr>
          <w:b/>
          <w:kern w:val="44"/>
          <w:sz w:val="28"/>
          <w:szCs w:val="28"/>
        </w:rPr>
      </w:pPr>
    </w:p>
    <w:p w14:paraId="05AB5B82">
      <w:pPr>
        <w:pStyle w:val="28"/>
        <w:rPr>
          <w:b/>
          <w:kern w:val="44"/>
          <w:sz w:val="28"/>
          <w:szCs w:val="28"/>
        </w:rPr>
      </w:pPr>
    </w:p>
    <w:p w14:paraId="31D7F5F7">
      <w:pPr>
        <w:pStyle w:val="28"/>
        <w:rPr>
          <w:b/>
          <w:kern w:val="44"/>
          <w:sz w:val="28"/>
          <w:szCs w:val="28"/>
        </w:rPr>
      </w:pPr>
    </w:p>
    <w:p w14:paraId="09EB46E3">
      <w:pPr>
        <w:pStyle w:val="28"/>
        <w:rPr>
          <w:b/>
          <w:kern w:val="44"/>
          <w:sz w:val="28"/>
          <w:szCs w:val="28"/>
        </w:rPr>
      </w:pPr>
    </w:p>
    <w:p w14:paraId="488C0661">
      <w:pPr>
        <w:snapToGrid w:val="0"/>
        <w:spacing w:line="360" w:lineRule="exact"/>
        <w:jc w:val="center"/>
        <w:outlineLvl w:val="3"/>
        <w:rPr>
          <w:rFonts w:ascii="Calibri" w:hAnsi="Calibri" w:eastAsia="仿宋_GB2312"/>
          <w:b/>
          <w:sz w:val="28"/>
          <w:szCs w:val="28"/>
        </w:rPr>
      </w:pPr>
      <w:r>
        <w:rPr>
          <w:rFonts w:hint="eastAsia" w:ascii="Calibri" w:hAnsi="Calibri" w:eastAsia="仿宋_GB2312"/>
          <w:b/>
          <w:sz w:val="28"/>
          <w:szCs w:val="28"/>
        </w:rPr>
        <w:t>3、磋商响应报价（最终）总表</w:t>
      </w:r>
    </w:p>
    <w:p w14:paraId="4E025B01">
      <w:pPr>
        <w:snapToGrid w:val="0"/>
        <w:spacing w:line="360" w:lineRule="exact"/>
        <w:ind w:left="1214" w:hanging="1214" w:hangingChars="506"/>
        <w:rPr>
          <w:rFonts w:ascii="仿宋_GB2312" w:hAnsi="宋体" w:eastAsia="仿宋_GB2312"/>
          <w:sz w:val="24"/>
        </w:rPr>
      </w:pPr>
    </w:p>
    <w:p w14:paraId="026F118E">
      <w:pPr>
        <w:snapToGrid w:val="0"/>
        <w:spacing w:line="360" w:lineRule="exact"/>
        <w:ind w:left="1417" w:hanging="1416" w:hangingChars="506"/>
        <w:rPr>
          <w:rFonts w:ascii="仿宋_GB2312" w:hAnsi="宋体" w:eastAsia="仿宋_GB2312"/>
          <w:sz w:val="28"/>
          <w:szCs w:val="28"/>
        </w:rPr>
      </w:pPr>
      <w:r>
        <w:rPr>
          <w:rFonts w:hint="eastAsia" w:ascii="仿宋_GB2312" w:hAnsi="宋体" w:eastAsia="仿宋_GB2312"/>
          <w:sz w:val="28"/>
          <w:szCs w:val="28"/>
        </w:rPr>
        <w:t xml:space="preserve">项目名称： </w:t>
      </w:r>
    </w:p>
    <w:p w14:paraId="76B63FE1">
      <w:pPr>
        <w:snapToGrid w:val="0"/>
        <w:spacing w:line="360" w:lineRule="exact"/>
        <w:ind w:left="1518" w:hanging="1517" w:hangingChars="506"/>
        <w:rPr>
          <w:rFonts w:ascii="仿宋_GB2312" w:hAnsi="仿宋_GB2312" w:eastAsia="仿宋_GB2312" w:cs="仿宋_GB2312"/>
          <w:sz w:val="30"/>
          <w:szCs w:val="30"/>
        </w:rPr>
      </w:pPr>
    </w:p>
    <w:tbl>
      <w:tblPr>
        <w:tblStyle w:val="36"/>
        <w:tblW w:w="96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0"/>
        <w:gridCol w:w="3033"/>
        <w:gridCol w:w="1740"/>
        <w:gridCol w:w="2456"/>
      </w:tblGrid>
      <w:tr w14:paraId="1215F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10" w:type="dxa"/>
            <w:tcBorders>
              <w:top w:val="single" w:color="auto" w:sz="4" w:space="0"/>
              <w:left w:val="single" w:color="auto" w:sz="4" w:space="0"/>
              <w:bottom w:val="single" w:color="auto" w:sz="4" w:space="0"/>
              <w:right w:val="single" w:color="auto" w:sz="4" w:space="0"/>
            </w:tcBorders>
            <w:vAlign w:val="center"/>
          </w:tcPr>
          <w:p w14:paraId="7057FBF1">
            <w:pPr>
              <w:spacing w:line="360" w:lineRule="exact"/>
              <w:ind w:left="1" w:firstLine="26" w:firstLineChars="11"/>
              <w:jc w:val="center"/>
              <w:textAlignment w:val="bottom"/>
              <w:rPr>
                <w:rFonts w:ascii="宋体" w:hAnsi="宋体" w:eastAsia="仿宋_GB2312"/>
                <w:bCs/>
                <w:kern w:val="0"/>
                <w:sz w:val="24"/>
                <w:lang w:eastAsia="en-US"/>
              </w:rPr>
            </w:pPr>
            <w:r>
              <w:rPr>
                <w:rFonts w:hint="eastAsia" w:ascii="宋体" w:hAnsi="宋体" w:eastAsia="仿宋_GB2312"/>
                <w:bCs/>
                <w:kern w:val="0"/>
                <w:sz w:val="24"/>
              </w:rPr>
              <w:t>项目名称</w:t>
            </w:r>
          </w:p>
        </w:tc>
        <w:tc>
          <w:tcPr>
            <w:tcW w:w="3033" w:type="dxa"/>
            <w:tcBorders>
              <w:top w:val="single" w:color="auto" w:sz="4" w:space="0"/>
              <w:left w:val="single" w:color="auto" w:sz="4" w:space="0"/>
              <w:bottom w:val="single" w:color="auto" w:sz="4" w:space="0"/>
              <w:right w:val="single" w:color="auto" w:sz="4" w:space="0"/>
            </w:tcBorders>
            <w:vAlign w:val="center"/>
          </w:tcPr>
          <w:p w14:paraId="07C2DFB6">
            <w:pPr>
              <w:spacing w:line="360" w:lineRule="exact"/>
              <w:ind w:left="1" w:firstLine="26" w:firstLineChars="11"/>
              <w:jc w:val="center"/>
              <w:textAlignment w:val="bottom"/>
              <w:rPr>
                <w:rFonts w:ascii="宋体" w:hAnsi="宋体" w:eastAsia="仿宋_GB2312"/>
                <w:bCs/>
                <w:kern w:val="0"/>
                <w:sz w:val="24"/>
              </w:rPr>
            </w:pPr>
            <w:r>
              <w:rPr>
                <w:rFonts w:hint="eastAsia" w:ascii="宋体" w:hAnsi="宋体" w:eastAsia="仿宋_GB2312"/>
                <w:bCs/>
                <w:kern w:val="0"/>
                <w:sz w:val="24"/>
              </w:rPr>
              <w:t>磋商响应报价（元）</w:t>
            </w:r>
          </w:p>
          <w:p w14:paraId="3298261A">
            <w:pPr>
              <w:spacing w:line="360" w:lineRule="exact"/>
              <w:ind w:left="1" w:firstLine="26" w:firstLineChars="11"/>
              <w:jc w:val="center"/>
              <w:textAlignment w:val="bottom"/>
              <w:rPr>
                <w:rFonts w:ascii="宋体" w:hAnsi="宋体" w:eastAsia="仿宋_GB2312"/>
                <w:bCs/>
                <w:kern w:val="0"/>
                <w:sz w:val="24"/>
              </w:rPr>
            </w:pPr>
            <w:r>
              <w:rPr>
                <w:rFonts w:hint="eastAsia" w:ascii="宋体" w:hAnsi="宋体" w:eastAsia="仿宋_GB2312"/>
                <w:bCs/>
                <w:kern w:val="0"/>
                <w:sz w:val="24"/>
              </w:rPr>
              <w:t>（最终）</w:t>
            </w:r>
          </w:p>
        </w:tc>
        <w:tc>
          <w:tcPr>
            <w:tcW w:w="1740" w:type="dxa"/>
            <w:tcBorders>
              <w:top w:val="single" w:color="auto" w:sz="4" w:space="0"/>
              <w:left w:val="single" w:color="auto" w:sz="4" w:space="0"/>
              <w:bottom w:val="single" w:color="auto" w:sz="4" w:space="0"/>
              <w:right w:val="single" w:color="auto" w:sz="4" w:space="0"/>
            </w:tcBorders>
            <w:vAlign w:val="center"/>
          </w:tcPr>
          <w:p w14:paraId="2F6F253D">
            <w:pPr>
              <w:spacing w:line="360" w:lineRule="exact"/>
              <w:ind w:left="1" w:firstLine="26" w:firstLineChars="11"/>
              <w:jc w:val="center"/>
              <w:textAlignment w:val="bottom"/>
              <w:rPr>
                <w:rFonts w:ascii="宋体" w:hAnsi="宋体" w:eastAsia="仿宋_GB2312"/>
                <w:bCs/>
                <w:kern w:val="0"/>
                <w:sz w:val="24"/>
              </w:rPr>
            </w:pPr>
            <w:r>
              <w:rPr>
                <w:rFonts w:hint="eastAsia" w:ascii="宋体" w:hAnsi="宋体" w:eastAsia="仿宋_GB2312"/>
                <w:bCs/>
                <w:kern w:val="0"/>
                <w:sz w:val="24"/>
              </w:rPr>
              <w:t>项目完成时间</w:t>
            </w:r>
          </w:p>
        </w:tc>
        <w:tc>
          <w:tcPr>
            <w:tcW w:w="2456" w:type="dxa"/>
            <w:tcBorders>
              <w:top w:val="single" w:color="auto" w:sz="4" w:space="0"/>
              <w:left w:val="single" w:color="auto" w:sz="4" w:space="0"/>
              <w:bottom w:val="single" w:color="auto" w:sz="4" w:space="0"/>
              <w:right w:val="single" w:color="auto" w:sz="4" w:space="0"/>
            </w:tcBorders>
            <w:vAlign w:val="center"/>
          </w:tcPr>
          <w:p w14:paraId="55124FB4">
            <w:pPr>
              <w:spacing w:line="360" w:lineRule="exact"/>
              <w:ind w:left="1" w:firstLine="26" w:firstLineChars="11"/>
              <w:jc w:val="center"/>
              <w:textAlignment w:val="bottom"/>
              <w:rPr>
                <w:rFonts w:ascii="宋体" w:hAnsi="宋体" w:eastAsia="仿宋_GB2312"/>
                <w:bCs/>
                <w:kern w:val="0"/>
                <w:sz w:val="24"/>
              </w:rPr>
            </w:pPr>
            <w:r>
              <w:rPr>
                <w:rFonts w:hint="eastAsia" w:ascii="宋体" w:hAnsi="宋体" w:eastAsia="仿宋_GB2312"/>
                <w:bCs/>
                <w:kern w:val="0"/>
                <w:sz w:val="24"/>
              </w:rPr>
              <w:t>付款方式</w:t>
            </w:r>
          </w:p>
        </w:tc>
      </w:tr>
      <w:tr w14:paraId="17B3E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5" w:hRule="atLeast"/>
        </w:trPr>
        <w:tc>
          <w:tcPr>
            <w:tcW w:w="2410" w:type="dxa"/>
            <w:tcBorders>
              <w:top w:val="single" w:color="auto" w:sz="4" w:space="0"/>
              <w:left w:val="single" w:color="auto" w:sz="4" w:space="0"/>
              <w:bottom w:val="single" w:color="auto" w:sz="4" w:space="0"/>
              <w:right w:val="single" w:color="auto" w:sz="4" w:space="0"/>
            </w:tcBorders>
            <w:vAlign w:val="center"/>
          </w:tcPr>
          <w:p w14:paraId="0791F7AA">
            <w:pPr>
              <w:spacing w:line="360" w:lineRule="exact"/>
              <w:ind w:left="1"/>
              <w:jc w:val="center"/>
              <w:textAlignment w:val="bottom"/>
              <w:rPr>
                <w:rFonts w:ascii="宋体" w:hAnsi="宋体" w:eastAsia="仿宋_GB2312"/>
                <w:bCs/>
                <w:kern w:val="0"/>
                <w:sz w:val="24"/>
              </w:rPr>
            </w:pPr>
            <w:r>
              <w:rPr>
                <w:rFonts w:hint="eastAsia" w:ascii="宋体" w:hAnsi="宋体" w:eastAsia="仿宋_GB2312"/>
                <w:bCs/>
                <w:kern w:val="0"/>
                <w:sz w:val="24"/>
              </w:rPr>
              <w:t xml:space="preserve"> </w:t>
            </w:r>
          </w:p>
        </w:tc>
        <w:tc>
          <w:tcPr>
            <w:tcW w:w="3033" w:type="dxa"/>
            <w:tcBorders>
              <w:top w:val="single" w:color="auto" w:sz="4" w:space="0"/>
              <w:left w:val="single" w:color="auto" w:sz="4" w:space="0"/>
              <w:bottom w:val="single" w:color="auto" w:sz="4" w:space="0"/>
              <w:right w:val="single" w:color="auto" w:sz="4" w:space="0"/>
            </w:tcBorders>
            <w:vAlign w:val="center"/>
          </w:tcPr>
          <w:p w14:paraId="3641A311">
            <w:pPr>
              <w:spacing w:line="360" w:lineRule="exact"/>
              <w:ind w:left="1" w:firstLine="26" w:firstLineChars="11"/>
              <w:jc w:val="left"/>
              <w:textAlignment w:val="bottom"/>
              <w:rPr>
                <w:rFonts w:ascii="宋体" w:hAnsi="宋体" w:eastAsia="仿宋_GB2312"/>
                <w:bCs/>
                <w:kern w:val="0"/>
                <w:sz w:val="24"/>
                <w:lang w:eastAsia="en-US"/>
              </w:rPr>
            </w:pPr>
            <w:r>
              <w:rPr>
                <w:rFonts w:hint="eastAsia" w:ascii="宋体" w:hAnsi="宋体" w:eastAsia="仿宋_GB2312"/>
                <w:bCs/>
                <w:kern w:val="0"/>
                <w:sz w:val="24"/>
              </w:rPr>
              <w:t>大写：</w:t>
            </w:r>
          </w:p>
          <w:p w14:paraId="23A70449">
            <w:pPr>
              <w:spacing w:line="360" w:lineRule="exact"/>
              <w:ind w:left="1" w:firstLine="26" w:firstLineChars="11"/>
              <w:jc w:val="left"/>
              <w:textAlignment w:val="bottom"/>
              <w:rPr>
                <w:rFonts w:ascii="宋体" w:hAnsi="宋体" w:eastAsia="仿宋_GB2312"/>
                <w:bCs/>
                <w:kern w:val="0"/>
                <w:sz w:val="24"/>
              </w:rPr>
            </w:pPr>
          </w:p>
          <w:p w14:paraId="5C290F62">
            <w:pPr>
              <w:spacing w:line="360" w:lineRule="exact"/>
              <w:ind w:left="1" w:firstLine="26" w:firstLineChars="11"/>
              <w:jc w:val="left"/>
              <w:textAlignment w:val="bottom"/>
              <w:rPr>
                <w:rFonts w:ascii="宋体" w:hAnsi="宋体" w:eastAsia="仿宋_GB2312"/>
                <w:bCs/>
                <w:kern w:val="0"/>
                <w:sz w:val="24"/>
                <w:lang w:eastAsia="en-US"/>
              </w:rPr>
            </w:pPr>
            <w:r>
              <w:rPr>
                <w:rFonts w:hint="eastAsia" w:ascii="宋体" w:hAnsi="宋体" w:eastAsia="仿宋_GB2312"/>
                <w:bCs/>
                <w:kern w:val="0"/>
                <w:sz w:val="24"/>
              </w:rPr>
              <w:t>小写：</w:t>
            </w:r>
          </w:p>
        </w:tc>
        <w:tc>
          <w:tcPr>
            <w:tcW w:w="1740" w:type="dxa"/>
            <w:tcBorders>
              <w:top w:val="single" w:color="auto" w:sz="4" w:space="0"/>
              <w:left w:val="single" w:color="auto" w:sz="4" w:space="0"/>
              <w:bottom w:val="single" w:color="auto" w:sz="4" w:space="0"/>
              <w:right w:val="single" w:color="auto" w:sz="4" w:space="0"/>
            </w:tcBorders>
            <w:vAlign w:val="center"/>
          </w:tcPr>
          <w:p w14:paraId="21F7D1C3">
            <w:pPr>
              <w:spacing w:line="360" w:lineRule="exact"/>
              <w:ind w:left="1" w:firstLine="26" w:firstLineChars="11"/>
              <w:jc w:val="center"/>
              <w:textAlignment w:val="bottom"/>
              <w:rPr>
                <w:rFonts w:ascii="宋体" w:hAnsi="宋体" w:eastAsia="仿宋_GB2312"/>
                <w:bCs/>
                <w:kern w:val="0"/>
                <w:sz w:val="24"/>
              </w:rPr>
            </w:pPr>
            <w:r>
              <w:rPr>
                <w:rFonts w:hint="eastAsia" w:ascii="宋体" w:hAnsi="宋体" w:eastAsia="仿宋_GB2312"/>
                <w:bCs/>
                <w:kern w:val="0"/>
                <w:sz w:val="24"/>
              </w:rPr>
              <w:t>完全响应招标文件要求的时间</w:t>
            </w:r>
          </w:p>
        </w:tc>
        <w:tc>
          <w:tcPr>
            <w:tcW w:w="2456" w:type="dxa"/>
            <w:tcBorders>
              <w:top w:val="single" w:color="auto" w:sz="4" w:space="0"/>
              <w:left w:val="single" w:color="auto" w:sz="4" w:space="0"/>
              <w:bottom w:val="single" w:color="auto" w:sz="4" w:space="0"/>
              <w:right w:val="single" w:color="auto" w:sz="4" w:space="0"/>
            </w:tcBorders>
            <w:vAlign w:val="center"/>
          </w:tcPr>
          <w:p w14:paraId="0496C604">
            <w:pPr>
              <w:spacing w:line="360" w:lineRule="exact"/>
              <w:ind w:left="1"/>
              <w:jc w:val="center"/>
              <w:textAlignment w:val="bottom"/>
              <w:rPr>
                <w:rFonts w:ascii="宋体" w:hAnsi="宋体" w:eastAsia="仿宋_GB2312"/>
                <w:bCs/>
                <w:kern w:val="0"/>
                <w:sz w:val="24"/>
              </w:rPr>
            </w:pPr>
            <w:r>
              <w:rPr>
                <w:rFonts w:hint="eastAsia" w:ascii="宋体" w:hAnsi="宋体" w:eastAsia="仿宋_GB2312"/>
                <w:bCs/>
                <w:kern w:val="0"/>
                <w:sz w:val="24"/>
              </w:rPr>
              <w:t>完全响应招标文件要求的付款方式</w:t>
            </w:r>
          </w:p>
        </w:tc>
      </w:tr>
    </w:tbl>
    <w:p w14:paraId="2B496A13">
      <w:pPr>
        <w:kinsoku w:val="0"/>
        <w:topLinePunct/>
        <w:snapToGrid w:val="0"/>
        <w:spacing w:line="360" w:lineRule="exact"/>
        <w:rPr>
          <w:rFonts w:ascii="仿宋_GB2312" w:hAnsi="宋体" w:eastAsia="仿宋_GB2312"/>
          <w:szCs w:val="21"/>
        </w:rPr>
      </w:pPr>
    </w:p>
    <w:p w14:paraId="260A4CC8">
      <w:pPr>
        <w:kinsoku w:val="0"/>
        <w:topLinePunct/>
        <w:snapToGrid w:val="0"/>
        <w:spacing w:line="360" w:lineRule="auto"/>
        <w:rPr>
          <w:rFonts w:ascii="仿宋_GB2312" w:hAnsi="宋体" w:eastAsia="仿宋_GB2312"/>
          <w:sz w:val="24"/>
        </w:rPr>
      </w:pPr>
      <w:r>
        <w:rPr>
          <w:rFonts w:hint="eastAsia" w:ascii="仿宋_GB2312" w:hAnsi="宋体" w:eastAsia="仿宋_GB2312"/>
          <w:sz w:val="24"/>
        </w:rPr>
        <w:t xml:space="preserve">磋商供应商：          </w:t>
      </w:r>
    </w:p>
    <w:p w14:paraId="160A2E00">
      <w:pPr>
        <w:kinsoku w:val="0"/>
        <w:topLinePunct/>
        <w:snapToGrid w:val="0"/>
        <w:spacing w:line="360" w:lineRule="auto"/>
        <w:rPr>
          <w:rFonts w:ascii="仿宋_GB2312" w:hAnsi="宋体" w:eastAsia="仿宋_GB2312"/>
          <w:sz w:val="24"/>
        </w:rPr>
      </w:pPr>
      <w:r>
        <w:rPr>
          <w:rFonts w:hint="eastAsia" w:ascii="仿宋_GB2312" w:hAnsi="宋体" w:eastAsia="仿宋_GB2312"/>
          <w:sz w:val="24"/>
        </w:rPr>
        <w:t>法定代表人或被委托授权人（签字）：</w:t>
      </w:r>
    </w:p>
    <w:p w14:paraId="7DBD3B7B">
      <w:pPr>
        <w:kinsoku w:val="0"/>
        <w:topLinePunct/>
        <w:snapToGrid w:val="0"/>
        <w:spacing w:line="360" w:lineRule="auto"/>
        <w:rPr>
          <w:rFonts w:ascii="仿宋_GB2312" w:hAnsi="宋体" w:eastAsia="仿宋_GB2312"/>
          <w:sz w:val="24"/>
        </w:rPr>
      </w:pPr>
      <w:r>
        <w:rPr>
          <w:rFonts w:hint="eastAsia" w:ascii="仿宋_GB2312" w:hAnsi="宋体" w:eastAsia="仿宋_GB2312"/>
          <w:sz w:val="24"/>
        </w:rPr>
        <w:t>日期：</w:t>
      </w:r>
    </w:p>
    <w:p w14:paraId="420911B5">
      <w:pPr>
        <w:pStyle w:val="28"/>
        <w:rPr>
          <w:b/>
          <w:kern w:val="44"/>
          <w:sz w:val="28"/>
          <w:szCs w:val="28"/>
        </w:rPr>
      </w:pPr>
    </w:p>
    <w:p w14:paraId="43926298">
      <w:pPr>
        <w:pStyle w:val="28"/>
        <w:rPr>
          <w:b/>
          <w:kern w:val="44"/>
          <w:sz w:val="28"/>
          <w:szCs w:val="28"/>
        </w:rPr>
      </w:pPr>
    </w:p>
    <w:p w14:paraId="53413170">
      <w:pPr>
        <w:pStyle w:val="28"/>
        <w:rPr>
          <w:b/>
          <w:kern w:val="44"/>
          <w:sz w:val="28"/>
          <w:szCs w:val="28"/>
        </w:rPr>
      </w:pPr>
    </w:p>
    <w:p w14:paraId="74842EC8">
      <w:pPr>
        <w:pStyle w:val="28"/>
        <w:rPr>
          <w:b/>
          <w:kern w:val="44"/>
          <w:sz w:val="28"/>
          <w:szCs w:val="28"/>
        </w:rPr>
      </w:pPr>
    </w:p>
    <w:p w14:paraId="0395F00A">
      <w:pPr>
        <w:pStyle w:val="28"/>
        <w:rPr>
          <w:b/>
          <w:kern w:val="44"/>
          <w:sz w:val="28"/>
          <w:szCs w:val="28"/>
        </w:rPr>
      </w:pPr>
    </w:p>
    <w:p w14:paraId="2B1B2F4D">
      <w:pPr>
        <w:pStyle w:val="28"/>
        <w:rPr>
          <w:b/>
          <w:kern w:val="44"/>
          <w:sz w:val="28"/>
          <w:szCs w:val="28"/>
        </w:rPr>
      </w:pPr>
    </w:p>
    <w:p w14:paraId="0E2C3C7A">
      <w:pPr>
        <w:pStyle w:val="28"/>
        <w:rPr>
          <w:b/>
          <w:kern w:val="44"/>
          <w:sz w:val="28"/>
          <w:szCs w:val="28"/>
        </w:rPr>
      </w:pPr>
    </w:p>
    <w:p w14:paraId="75AF9AE6">
      <w:pPr>
        <w:pStyle w:val="28"/>
        <w:rPr>
          <w:b/>
          <w:kern w:val="44"/>
          <w:sz w:val="28"/>
          <w:szCs w:val="28"/>
        </w:rPr>
      </w:pPr>
    </w:p>
    <w:p w14:paraId="1F288BE9">
      <w:pPr>
        <w:pStyle w:val="28"/>
        <w:rPr>
          <w:b/>
          <w:kern w:val="44"/>
          <w:sz w:val="28"/>
          <w:szCs w:val="28"/>
        </w:rPr>
      </w:pPr>
    </w:p>
    <w:p w14:paraId="4D0036A9">
      <w:pPr>
        <w:pStyle w:val="28"/>
        <w:rPr>
          <w:b/>
          <w:kern w:val="44"/>
          <w:sz w:val="28"/>
          <w:szCs w:val="28"/>
        </w:rPr>
      </w:pPr>
    </w:p>
    <w:p w14:paraId="41A52893">
      <w:pPr>
        <w:pStyle w:val="28"/>
        <w:rPr>
          <w:b/>
          <w:kern w:val="44"/>
          <w:sz w:val="28"/>
          <w:szCs w:val="28"/>
        </w:rPr>
      </w:pPr>
    </w:p>
    <w:p w14:paraId="12FD670B">
      <w:r>
        <mc:AlternateContent>
          <mc:Choice Requires="wps">
            <w:drawing>
              <wp:anchor distT="0" distB="0" distL="114300" distR="114300" simplePos="0" relativeHeight="251661312" behindDoc="1" locked="0" layoutInCell="1" allowOverlap="1">
                <wp:simplePos x="0" y="0"/>
                <wp:positionH relativeFrom="page">
                  <wp:posOffset>1391920</wp:posOffset>
                </wp:positionH>
                <wp:positionV relativeFrom="page">
                  <wp:posOffset>9069705</wp:posOffset>
                </wp:positionV>
                <wp:extent cx="4711700" cy="451485"/>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4711700" cy="451485"/>
                        </a:xfrm>
                        <a:prstGeom prst="rect">
                          <a:avLst/>
                        </a:prstGeom>
                        <a:noFill/>
                        <a:ln>
                          <a:noFill/>
                        </a:ln>
                        <a:effectLst/>
                      </wps:spPr>
                      <wps:txbx>
                        <w:txbxContent>
                          <w:p w14:paraId="6DF881A9">
                            <w:pPr>
                              <w:rPr>
                                <w:rFonts w:ascii="宋体"/>
                                <w:sz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09.6pt;margin-top:714.15pt;height:35.55pt;width:371pt;mso-position-horizontal-relative:page;mso-position-vertical-relative:page;z-index:-251655168;mso-width-relative:page;mso-height-relative:page;" filled="f" stroked="f" coordsize="21600,21600" o:gfxdata="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7Pf9oAAAANAQAADwAAAAAAAAABACAAAAAiAAAAZHJz&#10;L2Rvd25yZXYueG1sUEsBAhQAFAAAAAgAh07iQN3R0XoCAgAAEgQAAA4AAAAAAAAAAQAgAAAAKQEA&#10;AGRycy9lMm9Eb2MueG1sUEsFBgAAAAAGAAYAWQEAAJ0FAAAAAA==&#10;">
                <v:fill on="f" focussize="0,0"/>
                <v:stroke on="f"/>
                <v:imagedata o:title=""/>
                <o:lock v:ext="edit" aspectratio="f"/>
                <v:textbox inset="0mm,0mm,0mm,0mm">
                  <w:txbxContent>
                    <w:p w14:paraId="6DF881A9">
                      <w:pPr>
                        <w:rPr>
                          <w:rFonts w:ascii="宋体"/>
                          <w:sz w:val="18"/>
                        </w:rPr>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1391920</wp:posOffset>
                </wp:positionH>
                <wp:positionV relativeFrom="page">
                  <wp:posOffset>9069705</wp:posOffset>
                </wp:positionV>
                <wp:extent cx="4711700" cy="45148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711700" cy="451485"/>
                        </a:xfrm>
                        <a:prstGeom prst="rect">
                          <a:avLst/>
                        </a:prstGeom>
                        <a:noFill/>
                        <a:ln>
                          <a:noFill/>
                        </a:ln>
                        <a:effectLst/>
                      </wps:spPr>
                      <wps:txbx>
                        <w:txbxContent>
                          <w:p w14:paraId="737AB764">
                            <w:pPr>
                              <w:rPr>
                                <w:rFonts w:ascii="宋体"/>
                                <w:sz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09.6pt;margin-top:714.15pt;height:35.55pt;width:371pt;mso-position-horizontal-relative:page;mso-position-vertical-relative:page;z-index:-251657216;mso-width-relative:page;mso-height-relative:page;" filled="f" stroked="f" coordsize="21600,21600" o:gfxdata="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7Pf9oAAAANAQAADwAAAAAAAAABACAAAAAiAAAAZHJz&#10;L2Rvd25yZXYueG1sUEsBAhQAFAAAAAgAh07iQPGN2xkCAgAAEgQAAA4AAAAAAAAAAQAgAAAAKQEA&#10;AGRycy9lMm9Eb2MueG1sUEsFBgAAAAAGAAYAWQEAAJ0FAAAAAA==&#10;">
                <v:fill on="f" focussize="0,0"/>
                <v:stroke on="f"/>
                <v:imagedata o:title=""/>
                <o:lock v:ext="edit" aspectratio="f"/>
                <v:textbox inset="0mm,0mm,0mm,0mm">
                  <w:txbxContent>
                    <w:p w14:paraId="737AB764">
                      <w:pPr>
                        <w:rPr>
                          <w:rFonts w:ascii="宋体"/>
                          <w:sz w:val="18"/>
                        </w:rPr>
                      </w:pPr>
                    </w:p>
                  </w:txbxContent>
                </v:textbox>
              </v:shape>
            </w:pict>
          </mc:Fallback>
        </mc:AlternateContent>
      </w:r>
    </w:p>
    <w:sectPr>
      <w:headerReference r:id="rId4" w:type="default"/>
      <w:footerReference r:id="rId5"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66CE90-76D4-469A-B7BE-FE9021DADE5C}"/>
  </w:font>
  <w:font w:name="黑体">
    <w:panose1 w:val="02010609060101010101"/>
    <w:charset w:val="86"/>
    <w:family w:val="auto"/>
    <w:pitch w:val="default"/>
    <w:sig w:usb0="800002BF" w:usb1="38CF7CFA" w:usb2="00000016" w:usb3="00000000" w:csb0="00040001" w:csb1="00000000"/>
    <w:embedRegular r:id="rId2" w:fontKey="{536F0EAF-B843-4A73-9295-9985166BD9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430185B-91A6-422F-B171-BA26066B5634}"/>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Noto Sans SC">
    <w:altName w:val="宋体"/>
    <w:panose1 w:val="020B0500000000000000"/>
    <w:charset w:val="86"/>
    <w:family w:val="auto"/>
    <w:pitch w:val="default"/>
    <w:sig w:usb0="00000000" w:usb1="00000000" w:usb2="00000016" w:usb3="00000000" w:csb0="60060107" w:csb1="00000000"/>
  </w:font>
  <w:font w:name="仿宋_GB2312">
    <w:panose1 w:val="02010609030101010101"/>
    <w:charset w:val="86"/>
    <w:family w:val="modern"/>
    <w:pitch w:val="default"/>
    <w:sig w:usb0="00000001" w:usb1="080E0000" w:usb2="00000000" w:usb3="00000000" w:csb0="00040000" w:csb1="00000000"/>
    <w:embedRegular r:id="rId4" w:fontKey="{286EFB55-33DD-405A-B3DB-B71C98761263}"/>
  </w:font>
  <w:font w:name="Tahoma">
    <w:panose1 w:val="020B0604030504040204"/>
    <w:charset w:val="00"/>
    <w:family w:val="swiss"/>
    <w:pitch w:val="default"/>
    <w:sig w:usb0="E1002EFF" w:usb1="C000605B" w:usb2="00000029" w:usb3="00000000" w:csb0="200101FF" w:csb1="20280000"/>
    <w:embedRegular r:id="rId5" w:fontKey="{478550E4-E884-4DE3-ACAA-29E2D0FAEA80}"/>
  </w:font>
  <w:font w:name="KOCJL A+ Avenir LT Std">
    <w:altName w:val="宋体"/>
    <w:panose1 w:val="00000000000000000000"/>
    <w:charset w:val="86"/>
    <w:family w:val="swiss"/>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6" w:fontKey="{7DCAB90D-210C-4960-BD8B-FB3D3BFDEC8A}"/>
  </w:font>
  <w:font w:name="华文新魏">
    <w:panose1 w:val="02010800040101010101"/>
    <w:charset w:val="86"/>
    <w:family w:val="auto"/>
    <w:pitch w:val="default"/>
    <w:sig w:usb0="00000001" w:usb1="080F0000" w:usb2="00000000" w:usb3="00000000" w:csb0="00040000" w:csb1="00000000"/>
    <w:embedRegular r:id="rId7" w:fontKey="{AC073A1B-DFAD-401B-B3A2-06A1C30EB3C4}"/>
  </w:font>
  <w:font w:name="Arial Narrow">
    <w:panose1 w:val="020B0606020202030204"/>
    <w:charset w:val="00"/>
    <w:family w:val="swiss"/>
    <w:pitch w:val="default"/>
    <w:sig w:usb0="00000287" w:usb1="00000800" w:usb2="00000000" w:usb3="00000000" w:csb0="2000009F" w:csb1="DFD70000"/>
    <w:embedRegular r:id="rId8" w:fontKey="{CC3842E6-CF3E-4DB0-8E62-0C6806A60E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8391">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A84014A">
                          <w:pPr>
                            <w:pStyle w:val="24"/>
                            <w:jc w:val="center"/>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BempudEAIAABMEAAAOAAAAAAAAAAEAIAAA&#10;AB8BAABkcnMvZTJvRG9jLnhtbFBLBQYAAAAABgAGAFkBAAChBQAAAAA=&#10;">
              <v:fill on="f" focussize="0,0"/>
              <v:stroke on="f"/>
              <v:imagedata o:title=""/>
              <o:lock v:ext="edit" aspectratio="f"/>
              <v:textbox inset="0mm,0mm,0mm,0mm" style="mso-fit-shape-to-text:t;">
                <w:txbxContent>
                  <w:p w14:paraId="7A84014A">
                    <w:pPr>
                      <w:pStyle w:val="24"/>
                      <w:jc w:val="center"/>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2A07">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7E76">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DF2E"/>
    <w:multiLevelType w:val="singleLevel"/>
    <w:tmpl w:val="90D8DF2E"/>
    <w:lvl w:ilvl="0" w:tentative="0">
      <w:start w:val="1"/>
      <w:numFmt w:val="chineseCounting"/>
      <w:suff w:val="nothing"/>
      <w:lvlText w:val="（%1）"/>
      <w:lvlJc w:val="left"/>
      <w:rPr>
        <w:rFonts w:hint="eastAsia"/>
      </w:rPr>
    </w:lvl>
  </w:abstractNum>
  <w:abstractNum w:abstractNumId="1">
    <w:nsid w:val="029B692A"/>
    <w:multiLevelType w:val="singleLevel"/>
    <w:tmpl w:val="029B692A"/>
    <w:lvl w:ilvl="0" w:tentative="0">
      <w:start w:val="2"/>
      <w:numFmt w:val="decimal"/>
      <w:suff w:val="nothing"/>
      <w:lvlText w:val="（%1）"/>
      <w:lvlJc w:val="left"/>
    </w:lvl>
  </w:abstractNum>
  <w:abstractNum w:abstractNumId="2">
    <w:nsid w:val="17BB51BD"/>
    <w:multiLevelType w:val="singleLevel"/>
    <w:tmpl w:val="17BB51BD"/>
    <w:lvl w:ilvl="0" w:tentative="0">
      <w:start w:val="3"/>
      <w:numFmt w:val="decimal"/>
      <w:pStyle w:val="154"/>
      <w:suff w:val="nothing"/>
      <w:lvlText w:val="%1、"/>
      <w:lvlJc w:val="left"/>
    </w:lvl>
  </w:abstractNum>
  <w:abstractNum w:abstractNumId="3">
    <w:nsid w:val="17F11E45"/>
    <w:multiLevelType w:val="multilevel"/>
    <w:tmpl w:val="17F11E45"/>
    <w:lvl w:ilvl="0" w:tentative="0">
      <w:start w:val="1"/>
      <w:numFmt w:val="decimal"/>
      <w:pStyle w:val="7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8DA3F37"/>
    <w:multiLevelType w:val="multilevel"/>
    <w:tmpl w:val="38DA3F37"/>
    <w:lvl w:ilvl="0" w:tentative="0">
      <w:start w:val="1"/>
      <w:numFmt w:val="bullet"/>
      <w:pStyle w:val="145"/>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420C153B"/>
    <w:multiLevelType w:val="multilevel"/>
    <w:tmpl w:val="420C153B"/>
    <w:lvl w:ilvl="0" w:tentative="0">
      <w:start w:val="1"/>
      <w:numFmt w:val="decimal"/>
      <w:pStyle w:val="17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7F1E46C"/>
    <w:multiLevelType w:val="singleLevel"/>
    <w:tmpl w:val="57F1E46C"/>
    <w:lvl w:ilvl="0" w:tentative="0">
      <w:start w:val="2"/>
      <w:numFmt w:val="decimal"/>
      <w:suff w:val="nothing"/>
      <w:lvlText w:val="%1、"/>
      <w:lvlJc w:val="left"/>
    </w:lvl>
  </w:abstractNum>
  <w:abstractNum w:abstractNumId="7">
    <w:nsid w:val="7DAF01E7"/>
    <w:multiLevelType w:val="singleLevel"/>
    <w:tmpl w:val="7DAF01E7"/>
    <w:lvl w:ilvl="0" w:tentative="0">
      <w:start w:val="1"/>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NDhjZTUxODcxYjBiMGZhOWIyMDlmYjEzYjllYjkifQ=="/>
    <w:docVar w:name="KGWebUrl" w:val="http://jszfcg.jsczt.cn/jszc/gateWay/joffice/office?access_token=8209c385-26e4-4f43-ae90-7c756311020f"/>
    <w:docVar w:name="KSO_WPS_MARK_KEY" w:val="12720b38-13fa-4835-8ca1-1643e6a7acce"/>
  </w:docVars>
  <w:rsids>
    <w:rsidRoot w:val="00172A27"/>
    <w:rsid w:val="00003393"/>
    <w:rsid w:val="00006F19"/>
    <w:rsid w:val="000073B3"/>
    <w:rsid w:val="00010415"/>
    <w:rsid w:val="00014AFB"/>
    <w:rsid w:val="00014EF7"/>
    <w:rsid w:val="00020734"/>
    <w:rsid w:val="00020F27"/>
    <w:rsid w:val="00020FB4"/>
    <w:rsid w:val="00021558"/>
    <w:rsid w:val="00021924"/>
    <w:rsid w:val="000238EF"/>
    <w:rsid w:val="00026151"/>
    <w:rsid w:val="00027F3E"/>
    <w:rsid w:val="0003120D"/>
    <w:rsid w:val="00034925"/>
    <w:rsid w:val="00042B98"/>
    <w:rsid w:val="0004312D"/>
    <w:rsid w:val="00052AB4"/>
    <w:rsid w:val="000551CF"/>
    <w:rsid w:val="000574A6"/>
    <w:rsid w:val="00060A9A"/>
    <w:rsid w:val="00061780"/>
    <w:rsid w:val="00063273"/>
    <w:rsid w:val="0006428D"/>
    <w:rsid w:val="00067507"/>
    <w:rsid w:val="00072B44"/>
    <w:rsid w:val="00077E41"/>
    <w:rsid w:val="00081948"/>
    <w:rsid w:val="00084DE5"/>
    <w:rsid w:val="00085982"/>
    <w:rsid w:val="000871C7"/>
    <w:rsid w:val="00087F33"/>
    <w:rsid w:val="00090315"/>
    <w:rsid w:val="000911AA"/>
    <w:rsid w:val="00092796"/>
    <w:rsid w:val="000938B4"/>
    <w:rsid w:val="00095DC6"/>
    <w:rsid w:val="000A0041"/>
    <w:rsid w:val="000A3C28"/>
    <w:rsid w:val="000A3F14"/>
    <w:rsid w:val="000A4EDC"/>
    <w:rsid w:val="000A5AED"/>
    <w:rsid w:val="000A6C4F"/>
    <w:rsid w:val="000B03F4"/>
    <w:rsid w:val="000B2890"/>
    <w:rsid w:val="000B37E4"/>
    <w:rsid w:val="000B51AE"/>
    <w:rsid w:val="000B60C1"/>
    <w:rsid w:val="000B654D"/>
    <w:rsid w:val="000C4E2C"/>
    <w:rsid w:val="000C5238"/>
    <w:rsid w:val="000C5D14"/>
    <w:rsid w:val="000D110F"/>
    <w:rsid w:val="000D4AD6"/>
    <w:rsid w:val="000D4AFA"/>
    <w:rsid w:val="000D5212"/>
    <w:rsid w:val="000D607D"/>
    <w:rsid w:val="000E1FB4"/>
    <w:rsid w:val="000E41EF"/>
    <w:rsid w:val="000E4429"/>
    <w:rsid w:val="000E4B01"/>
    <w:rsid w:val="000E5313"/>
    <w:rsid w:val="000E79A4"/>
    <w:rsid w:val="000F4BDD"/>
    <w:rsid w:val="00100CBF"/>
    <w:rsid w:val="00101C7F"/>
    <w:rsid w:val="00102096"/>
    <w:rsid w:val="001028B3"/>
    <w:rsid w:val="0010416E"/>
    <w:rsid w:val="0010640A"/>
    <w:rsid w:val="0010739D"/>
    <w:rsid w:val="00107626"/>
    <w:rsid w:val="00110960"/>
    <w:rsid w:val="0011279C"/>
    <w:rsid w:val="00113FE5"/>
    <w:rsid w:val="00116377"/>
    <w:rsid w:val="00120666"/>
    <w:rsid w:val="0012141B"/>
    <w:rsid w:val="00121461"/>
    <w:rsid w:val="00122617"/>
    <w:rsid w:val="00123B0D"/>
    <w:rsid w:val="001248AA"/>
    <w:rsid w:val="00124ED1"/>
    <w:rsid w:val="001253DE"/>
    <w:rsid w:val="0012689E"/>
    <w:rsid w:val="001315E9"/>
    <w:rsid w:val="00132BA8"/>
    <w:rsid w:val="00136902"/>
    <w:rsid w:val="00137B7C"/>
    <w:rsid w:val="00142558"/>
    <w:rsid w:val="0014270C"/>
    <w:rsid w:val="00142A7C"/>
    <w:rsid w:val="0014671B"/>
    <w:rsid w:val="001468EE"/>
    <w:rsid w:val="00152E44"/>
    <w:rsid w:val="00154637"/>
    <w:rsid w:val="00155C8A"/>
    <w:rsid w:val="00156733"/>
    <w:rsid w:val="00164465"/>
    <w:rsid w:val="001649B8"/>
    <w:rsid w:val="0016558F"/>
    <w:rsid w:val="001706BC"/>
    <w:rsid w:val="0017202A"/>
    <w:rsid w:val="00172A27"/>
    <w:rsid w:val="001730B0"/>
    <w:rsid w:val="00175052"/>
    <w:rsid w:val="001757BB"/>
    <w:rsid w:val="00180909"/>
    <w:rsid w:val="001849B2"/>
    <w:rsid w:val="0018578D"/>
    <w:rsid w:val="00187C96"/>
    <w:rsid w:val="00190086"/>
    <w:rsid w:val="00190CF0"/>
    <w:rsid w:val="001930CB"/>
    <w:rsid w:val="00193A6A"/>
    <w:rsid w:val="001A0F03"/>
    <w:rsid w:val="001A2000"/>
    <w:rsid w:val="001A272F"/>
    <w:rsid w:val="001A500B"/>
    <w:rsid w:val="001B4589"/>
    <w:rsid w:val="001B616A"/>
    <w:rsid w:val="001B6597"/>
    <w:rsid w:val="001C0F09"/>
    <w:rsid w:val="001C1DBB"/>
    <w:rsid w:val="001C45C4"/>
    <w:rsid w:val="001C520E"/>
    <w:rsid w:val="001C580C"/>
    <w:rsid w:val="001C58ED"/>
    <w:rsid w:val="001C5918"/>
    <w:rsid w:val="001C6731"/>
    <w:rsid w:val="001C6864"/>
    <w:rsid w:val="001D279D"/>
    <w:rsid w:val="001D3D15"/>
    <w:rsid w:val="001E2191"/>
    <w:rsid w:val="001E255E"/>
    <w:rsid w:val="001E2C75"/>
    <w:rsid w:val="001E2EEA"/>
    <w:rsid w:val="001E6ED0"/>
    <w:rsid w:val="001F00B3"/>
    <w:rsid w:val="001F198A"/>
    <w:rsid w:val="001F2D52"/>
    <w:rsid w:val="001F2D78"/>
    <w:rsid w:val="001F3B30"/>
    <w:rsid w:val="001F638B"/>
    <w:rsid w:val="0020072B"/>
    <w:rsid w:val="00201E68"/>
    <w:rsid w:val="00202092"/>
    <w:rsid w:val="0020367B"/>
    <w:rsid w:val="00204F62"/>
    <w:rsid w:val="002051B8"/>
    <w:rsid w:val="00205FA9"/>
    <w:rsid w:val="002158FB"/>
    <w:rsid w:val="00215DEF"/>
    <w:rsid w:val="00216007"/>
    <w:rsid w:val="002212D5"/>
    <w:rsid w:val="00222749"/>
    <w:rsid w:val="0022468B"/>
    <w:rsid w:val="002257AA"/>
    <w:rsid w:val="00225867"/>
    <w:rsid w:val="002265D0"/>
    <w:rsid w:val="00226DBE"/>
    <w:rsid w:val="002304F3"/>
    <w:rsid w:val="00232F42"/>
    <w:rsid w:val="0023471E"/>
    <w:rsid w:val="0023615E"/>
    <w:rsid w:val="00237873"/>
    <w:rsid w:val="00242025"/>
    <w:rsid w:val="00250C25"/>
    <w:rsid w:val="00251391"/>
    <w:rsid w:val="0025159C"/>
    <w:rsid w:val="002527D1"/>
    <w:rsid w:val="00252D8A"/>
    <w:rsid w:val="00254390"/>
    <w:rsid w:val="00255A0D"/>
    <w:rsid w:val="00257673"/>
    <w:rsid w:val="00257A0C"/>
    <w:rsid w:val="00260BB4"/>
    <w:rsid w:val="0026258C"/>
    <w:rsid w:val="002635D1"/>
    <w:rsid w:val="0026626F"/>
    <w:rsid w:val="00266E3B"/>
    <w:rsid w:val="002707F6"/>
    <w:rsid w:val="00270FD4"/>
    <w:rsid w:val="00271C9F"/>
    <w:rsid w:val="002724ED"/>
    <w:rsid w:val="00273D4A"/>
    <w:rsid w:val="00274F29"/>
    <w:rsid w:val="00277236"/>
    <w:rsid w:val="002875AE"/>
    <w:rsid w:val="00290901"/>
    <w:rsid w:val="00290912"/>
    <w:rsid w:val="00291D80"/>
    <w:rsid w:val="00291ED8"/>
    <w:rsid w:val="002963D9"/>
    <w:rsid w:val="002977A9"/>
    <w:rsid w:val="00297F97"/>
    <w:rsid w:val="002A2747"/>
    <w:rsid w:val="002A3C5A"/>
    <w:rsid w:val="002B0B75"/>
    <w:rsid w:val="002B217E"/>
    <w:rsid w:val="002B24C1"/>
    <w:rsid w:val="002B24CD"/>
    <w:rsid w:val="002B2AC4"/>
    <w:rsid w:val="002B5F30"/>
    <w:rsid w:val="002B6CCA"/>
    <w:rsid w:val="002B7F43"/>
    <w:rsid w:val="002C007A"/>
    <w:rsid w:val="002C325F"/>
    <w:rsid w:val="002C41BE"/>
    <w:rsid w:val="002C4A74"/>
    <w:rsid w:val="002C755D"/>
    <w:rsid w:val="002C781F"/>
    <w:rsid w:val="002D117C"/>
    <w:rsid w:val="002D3C0F"/>
    <w:rsid w:val="002D4427"/>
    <w:rsid w:val="002D58D6"/>
    <w:rsid w:val="002D5DCA"/>
    <w:rsid w:val="002E082B"/>
    <w:rsid w:val="002E1162"/>
    <w:rsid w:val="002E56BB"/>
    <w:rsid w:val="002E5B59"/>
    <w:rsid w:val="002F0047"/>
    <w:rsid w:val="002F3ACB"/>
    <w:rsid w:val="002F58FC"/>
    <w:rsid w:val="002F627C"/>
    <w:rsid w:val="002F754A"/>
    <w:rsid w:val="00301AD9"/>
    <w:rsid w:val="003030CD"/>
    <w:rsid w:val="00305808"/>
    <w:rsid w:val="00306ACA"/>
    <w:rsid w:val="00310534"/>
    <w:rsid w:val="00310AB2"/>
    <w:rsid w:val="00310EFB"/>
    <w:rsid w:val="00312083"/>
    <w:rsid w:val="00313E9B"/>
    <w:rsid w:val="00314503"/>
    <w:rsid w:val="00314E43"/>
    <w:rsid w:val="00315B65"/>
    <w:rsid w:val="00324258"/>
    <w:rsid w:val="003242C4"/>
    <w:rsid w:val="003243CD"/>
    <w:rsid w:val="003255CB"/>
    <w:rsid w:val="00330C50"/>
    <w:rsid w:val="00332384"/>
    <w:rsid w:val="0033534B"/>
    <w:rsid w:val="00336569"/>
    <w:rsid w:val="00336BEE"/>
    <w:rsid w:val="00337AAA"/>
    <w:rsid w:val="00341AD7"/>
    <w:rsid w:val="00343821"/>
    <w:rsid w:val="00343FAB"/>
    <w:rsid w:val="00344664"/>
    <w:rsid w:val="00344E5D"/>
    <w:rsid w:val="003458FF"/>
    <w:rsid w:val="00346BD7"/>
    <w:rsid w:val="00346C76"/>
    <w:rsid w:val="00347B09"/>
    <w:rsid w:val="00352EEF"/>
    <w:rsid w:val="00353091"/>
    <w:rsid w:val="00355DDB"/>
    <w:rsid w:val="003562C3"/>
    <w:rsid w:val="003567EA"/>
    <w:rsid w:val="0035785E"/>
    <w:rsid w:val="00364CC7"/>
    <w:rsid w:val="0036657C"/>
    <w:rsid w:val="00367ABB"/>
    <w:rsid w:val="00371B67"/>
    <w:rsid w:val="003726DA"/>
    <w:rsid w:val="00374E32"/>
    <w:rsid w:val="003772F8"/>
    <w:rsid w:val="003801BB"/>
    <w:rsid w:val="003831B8"/>
    <w:rsid w:val="00383928"/>
    <w:rsid w:val="00383DBE"/>
    <w:rsid w:val="00384B42"/>
    <w:rsid w:val="00385DF7"/>
    <w:rsid w:val="00386030"/>
    <w:rsid w:val="003865D5"/>
    <w:rsid w:val="00391A56"/>
    <w:rsid w:val="00392DE7"/>
    <w:rsid w:val="00395D8D"/>
    <w:rsid w:val="0039674C"/>
    <w:rsid w:val="003A1573"/>
    <w:rsid w:val="003A4122"/>
    <w:rsid w:val="003A4E2E"/>
    <w:rsid w:val="003A677E"/>
    <w:rsid w:val="003B1D72"/>
    <w:rsid w:val="003B2A76"/>
    <w:rsid w:val="003B56B4"/>
    <w:rsid w:val="003B6CF0"/>
    <w:rsid w:val="003B7DD0"/>
    <w:rsid w:val="003C03F0"/>
    <w:rsid w:val="003C0BD4"/>
    <w:rsid w:val="003C2C99"/>
    <w:rsid w:val="003C4D5B"/>
    <w:rsid w:val="003C5409"/>
    <w:rsid w:val="003D014B"/>
    <w:rsid w:val="003D1CD6"/>
    <w:rsid w:val="003D2C64"/>
    <w:rsid w:val="003D2FC7"/>
    <w:rsid w:val="003D4FF1"/>
    <w:rsid w:val="003D5774"/>
    <w:rsid w:val="003D5F6E"/>
    <w:rsid w:val="003D68D8"/>
    <w:rsid w:val="003E0EED"/>
    <w:rsid w:val="003E250E"/>
    <w:rsid w:val="003E43FF"/>
    <w:rsid w:val="003F0D4C"/>
    <w:rsid w:val="003F45DC"/>
    <w:rsid w:val="003F5AE0"/>
    <w:rsid w:val="003F72CC"/>
    <w:rsid w:val="003F794C"/>
    <w:rsid w:val="00400C6C"/>
    <w:rsid w:val="00401FCD"/>
    <w:rsid w:val="00403C08"/>
    <w:rsid w:val="00410175"/>
    <w:rsid w:val="00412D01"/>
    <w:rsid w:val="00413A19"/>
    <w:rsid w:val="00414575"/>
    <w:rsid w:val="00414687"/>
    <w:rsid w:val="00415160"/>
    <w:rsid w:val="00415F3B"/>
    <w:rsid w:val="0042088B"/>
    <w:rsid w:val="004229F7"/>
    <w:rsid w:val="00424B5F"/>
    <w:rsid w:val="00424E6E"/>
    <w:rsid w:val="004256C7"/>
    <w:rsid w:val="00426C36"/>
    <w:rsid w:val="0042701F"/>
    <w:rsid w:val="00431BCA"/>
    <w:rsid w:val="0043235B"/>
    <w:rsid w:val="004341ED"/>
    <w:rsid w:val="004365EC"/>
    <w:rsid w:val="0044006B"/>
    <w:rsid w:val="00443354"/>
    <w:rsid w:val="00444074"/>
    <w:rsid w:val="0044689F"/>
    <w:rsid w:val="0045029B"/>
    <w:rsid w:val="00454290"/>
    <w:rsid w:val="0045607D"/>
    <w:rsid w:val="00461828"/>
    <w:rsid w:val="00464ED5"/>
    <w:rsid w:val="00470338"/>
    <w:rsid w:val="004721B6"/>
    <w:rsid w:val="00472A82"/>
    <w:rsid w:val="00475A51"/>
    <w:rsid w:val="004766E1"/>
    <w:rsid w:val="00476758"/>
    <w:rsid w:val="004777A1"/>
    <w:rsid w:val="004833D3"/>
    <w:rsid w:val="00483692"/>
    <w:rsid w:val="00484D8B"/>
    <w:rsid w:val="00486CA6"/>
    <w:rsid w:val="00487726"/>
    <w:rsid w:val="00491EF1"/>
    <w:rsid w:val="004938B4"/>
    <w:rsid w:val="00496D50"/>
    <w:rsid w:val="004B3857"/>
    <w:rsid w:val="004B4BC5"/>
    <w:rsid w:val="004B52E4"/>
    <w:rsid w:val="004B5EC8"/>
    <w:rsid w:val="004C1371"/>
    <w:rsid w:val="004C159D"/>
    <w:rsid w:val="004C45A9"/>
    <w:rsid w:val="004C6D4A"/>
    <w:rsid w:val="004D15E5"/>
    <w:rsid w:val="004D1788"/>
    <w:rsid w:val="004D273D"/>
    <w:rsid w:val="004D3FF7"/>
    <w:rsid w:val="004E03D8"/>
    <w:rsid w:val="004E05C6"/>
    <w:rsid w:val="004E0637"/>
    <w:rsid w:val="004E099F"/>
    <w:rsid w:val="004E3C02"/>
    <w:rsid w:val="004E3D45"/>
    <w:rsid w:val="004E7C71"/>
    <w:rsid w:val="004F1538"/>
    <w:rsid w:val="004F2744"/>
    <w:rsid w:val="004F2EB4"/>
    <w:rsid w:val="004F5030"/>
    <w:rsid w:val="004F625B"/>
    <w:rsid w:val="004F6B74"/>
    <w:rsid w:val="00501F32"/>
    <w:rsid w:val="00502440"/>
    <w:rsid w:val="00502FD6"/>
    <w:rsid w:val="005104F7"/>
    <w:rsid w:val="00512522"/>
    <w:rsid w:val="00514970"/>
    <w:rsid w:val="00520945"/>
    <w:rsid w:val="00521703"/>
    <w:rsid w:val="00522701"/>
    <w:rsid w:val="0052284F"/>
    <w:rsid w:val="0052312A"/>
    <w:rsid w:val="00523B3E"/>
    <w:rsid w:val="00524386"/>
    <w:rsid w:val="00530B25"/>
    <w:rsid w:val="00531EAD"/>
    <w:rsid w:val="00532641"/>
    <w:rsid w:val="00535BC9"/>
    <w:rsid w:val="00537A49"/>
    <w:rsid w:val="00541530"/>
    <w:rsid w:val="00542C90"/>
    <w:rsid w:val="00542D65"/>
    <w:rsid w:val="005432B0"/>
    <w:rsid w:val="005439B9"/>
    <w:rsid w:val="00543F74"/>
    <w:rsid w:val="0054405A"/>
    <w:rsid w:val="005441DB"/>
    <w:rsid w:val="00544641"/>
    <w:rsid w:val="00544AB9"/>
    <w:rsid w:val="00546BF9"/>
    <w:rsid w:val="005477AB"/>
    <w:rsid w:val="005510E9"/>
    <w:rsid w:val="005522AA"/>
    <w:rsid w:val="00552375"/>
    <w:rsid w:val="00552B62"/>
    <w:rsid w:val="005536FD"/>
    <w:rsid w:val="00553BFD"/>
    <w:rsid w:val="00560CFA"/>
    <w:rsid w:val="00561843"/>
    <w:rsid w:val="005629EF"/>
    <w:rsid w:val="00562B11"/>
    <w:rsid w:val="005661C0"/>
    <w:rsid w:val="00570E83"/>
    <w:rsid w:val="00571FEF"/>
    <w:rsid w:val="00572198"/>
    <w:rsid w:val="00573812"/>
    <w:rsid w:val="00573943"/>
    <w:rsid w:val="00574798"/>
    <w:rsid w:val="005844C3"/>
    <w:rsid w:val="0058669C"/>
    <w:rsid w:val="00586A49"/>
    <w:rsid w:val="00587557"/>
    <w:rsid w:val="00587678"/>
    <w:rsid w:val="00592AAC"/>
    <w:rsid w:val="00594EB4"/>
    <w:rsid w:val="005A02E4"/>
    <w:rsid w:val="005A086F"/>
    <w:rsid w:val="005A4840"/>
    <w:rsid w:val="005A618B"/>
    <w:rsid w:val="005A6397"/>
    <w:rsid w:val="005A6B50"/>
    <w:rsid w:val="005A6D19"/>
    <w:rsid w:val="005B1A87"/>
    <w:rsid w:val="005B1FBC"/>
    <w:rsid w:val="005B2678"/>
    <w:rsid w:val="005B5458"/>
    <w:rsid w:val="005B6C84"/>
    <w:rsid w:val="005C0353"/>
    <w:rsid w:val="005C4BDD"/>
    <w:rsid w:val="005C52C6"/>
    <w:rsid w:val="005C5AA8"/>
    <w:rsid w:val="005D090B"/>
    <w:rsid w:val="005D2048"/>
    <w:rsid w:val="005D3607"/>
    <w:rsid w:val="005D411E"/>
    <w:rsid w:val="005D5F49"/>
    <w:rsid w:val="005D7CCB"/>
    <w:rsid w:val="005E02B0"/>
    <w:rsid w:val="005E077D"/>
    <w:rsid w:val="005E1DA5"/>
    <w:rsid w:val="005E3446"/>
    <w:rsid w:val="005E374C"/>
    <w:rsid w:val="005E519A"/>
    <w:rsid w:val="005F1C9C"/>
    <w:rsid w:val="005F1E04"/>
    <w:rsid w:val="005F3809"/>
    <w:rsid w:val="00601D18"/>
    <w:rsid w:val="00602825"/>
    <w:rsid w:val="006060B1"/>
    <w:rsid w:val="00607B22"/>
    <w:rsid w:val="00610931"/>
    <w:rsid w:val="00610AC9"/>
    <w:rsid w:val="006135DE"/>
    <w:rsid w:val="006150EF"/>
    <w:rsid w:val="00615198"/>
    <w:rsid w:val="00617DDD"/>
    <w:rsid w:val="00620DCB"/>
    <w:rsid w:val="006212A1"/>
    <w:rsid w:val="0062170A"/>
    <w:rsid w:val="006240A9"/>
    <w:rsid w:val="006317B5"/>
    <w:rsid w:val="006327B7"/>
    <w:rsid w:val="00637540"/>
    <w:rsid w:val="00637904"/>
    <w:rsid w:val="006403BF"/>
    <w:rsid w:val="00640F79"/>
    <w:rsid w:val="006414B5"/>
    <w:rsid w:val="00643D42"/>
    <w:rsid w:val="00647F8F"/>
    <w:rsid w:val="00652285"/>
    <w:rsid w:val="0065311A"/>
    <w:rsid w:val="00653FB4"/>
    <w:rsid w:val="006550F3"/>
    <w:rsid w:val="0065518E"/>
    <w:rsid w:val="00657AA4"/>
    <w:rsid w:val="006609C6"/>
    <w:rsid w:val="00661709"/>
    <w:rsid w:val="00661872"/>
    <w:rsid w:val="00666E98"/>
    <w:rsid w:val="00667F35"/>
    <w:rsid w:val="006707FB"/>
    <w:rsid w:val="006712AA"/>
    <w:rsid w:val="00671F8C"/>
    <w:rsid w:val="0067481A"/>
    <w:rsid w:val="006758E7"/>
    <w:rsid w:val="0068309B"/>
    <w:rsid w:val="00683B35"/>
    <w:rsid w:val="00684005"/>
    <w:rsid w:val="00685A68"/>
    <w:rsid w:val="0068675D"/>
    <w:rsid w:val="0069180B"/>
    <w:rsid w:val="00693997"/>
    <w:rsid w:val="0069433D"/>
    <w:rsid w:val="006943E7"/>
    <w:rsid w:val="00694948"/>
    <w:rsid w:val="006951D1"/>
    <w:rsid w:val="00697A1C"/>
    <w:rsid w:val="00697E91"/>
    <w:rsid w:val="006A2630"/>
    <w:rsid w:val="006A2866"/>
    <w:rsid w:val="006A508A"/>
    <w:rsid w:val="006A5621"/>
    <w:rsid w:val="006A5CE7"/>
    <w:rsid w:val="006A647B"/>
    <w:rsid w:val="006A6816"/>
    <w:rsid w:val="006A7795"/>
    <w:rsid w:val="006B5A1A"/>
    <w:rsid w:val="006C1086"/>
    <w:rsid w:val="006C6ACD"/>
    <w:rsid w:val="006D1693"/>
    <w:rsid w:val="006D1EB2"/>
    <w:rsid w:val="006D2438"/>
    <w:rsid w:val="006D4193"/>
    <w:rsid w:val="006D4A59"/>
    <w:rsid w:val="006D4E50"/>
    <w:rsid w:val="006D5392"/>
    <w:rsid w:val="006D62A0"/>
    <w:rsid w:val="006D70D4"/>
    <w:rsid w:val="006E25F2"/>
    <w:rsid w:val="006E26B0"/>
    <w:rsid w:val="006E28C7"/>
    <w:rsid w:val="006E55C1"/>
    <w:rsid w:val="006E728B"/>
    <w:rsid w:val="006F02AC"/>
    <w:rsid w:val="006F3332"/>
    <w:rsid w:val="006F4D91"/>
    <w:rsid w:val="00701B44"/>
    <w:rsid w:val="007032CE"/>
    <w:rsid w:val="00705F83"/>
    <w:rsid w:val="00706B3E"/>
    <w:rsid w:val="00706BE9"/>
    <w:rsid w:val="00707407"/>
    <w:rsid w:val="00710347"/>
    <w:rsid w:val="007123FB"/>
    <w:rsid w:val="0071403E"/>
    <w:rsid w:val="00714982"/>
    <w:rsid w:val="007177DC"/>
    <w:rsid w:val="00724D84"/>
    <w:rsid w:val="0072742B"/>
    <w:rsid w:val="00727443"/>
    <w:rsid w:val="00733588"/>
    <w:rsid w:val="00733D4F"/>
    <w:rsid w:val="00736CD1"/>
    <w:rsid w:val="00741CC1"/>
    <w:rsid w:val="007421B3"/>
    <w:rsid w:val="00742A9F"/>
    <w:rsid w:val="007438F2"/>
    <w:rsid w:val="007456DC"/>
    <w:rsid w:val="0075052B"/>
    <w:rsid w:val="0075112E"/>
    <w:rsid w:val="00760109"/>
    <w:rsid w:val="00760C7E"/>
    <w:rsid w:val="00760DB3"/>
    <w:rsid w:val="00761FC3"/>
    <w:rsid w:val="007666BA"/>
    <w:rsid w:val="00772653"/>
    <w:rsid w:val="00773027"/>
    <w:rsid w:val="00775164"/>
    <w:rsid w:val="007767D1"/>
    <w:rsid w:val="00776B55"/>
    <w:rsid w:val="00781717"/>
    <w:rsid w:val="007849EA"/>
    <w:rsid w:val="00786C61"/>
    <w:rsid w:val="00787355"/>
    <w:rsid w:val="007948F3"/>
    <w:rsid w:val="007964DD"/>
    <w:rsid w:val="00796B60"/>
    <w:rsid w:val="00796C4F"/>
    <w:rsid w:val="00797A48"/>
    <w:rsid w:val="007A05AA"/>
    <w:rsid w:val="007A16A0"/>
    <w:rsid w:val="007A1927"/>
    <w:rsid w:val="007A2E6E"/>
    <w:rsid w:val="007A3E56"/>
    <w:rsid w:val="007A6E0C"/>
    <w:rsid w:val="007A7CC8"/>
    <w:rsid w:val="007B0283"/>
    <w:rsid w:val="007B045B"/>
    <w:rsid w:val="007B0AF6"/>
    <w:rsid w:val="007B389C"/>
    <w:rsid w:val="007B4684"/>
    <w:rsid w:val="007B585E"/>
    <w:rsid w:val="007B5BE7"/>
    <w:rsid w:val="007B5F1D"/>
    <w:rsid w:val="007B6A9B"/>
    <w:rsid w:val="007C0B4F"/>
    <w:rsid w:val="007C2A4B"/>
    <w:rsid w:val="007C3A20"/>
    <w:rsid w:val="007C44D3"/>
    <w:rsid w:val="007D2065"/>
    <w:rsid w:val="007D2857"/>
    <w:rsid w:val="007D2B5D"/>
    <w:rsid w:val="007D45EF"/>
    <w:rsid w:val="007D48B9"/>
    <w:rsid w:val="007D594A"/>
    <w:rsid w:val="007D5D51"/>
    <w:rsid w:val="007D6259"/>
    <w:rsid w:val="007D7484"/>
    <w:rsid w:val="007E2E24"/>
    <w:rsid w:val="007E3B2A"/>
    <w:rsid w:val="007E5BCB"/>
    <w:rsid w:val="007F1B25"/>
    <w:rsid w:val="007F57EE"/>
    <w:rsid w:val="008001A1"/>
    <w:rsid w:val="00803CBD"/>
    <w:rsid w:val="008053E0"/>
    <w:rsid w:val="008068ED"/>
    <w:rsid w:val="00811601"/>
    <w:rsid w:val="0081315A"/>
    <w:rsid w:val="00814664"/>
    <w:rsid w:val="00814EDA"/>
    <w:rsid w:val="00820162"/>
    <w:rsid w:val="00820971"/>
    <w:rsid w:val="00821681"/>
    <w:rsid w:val="0082183F"/>
    <w:rsid w:val="00821D00"/>
    <w:rsid w:val="00822C85"/>
    <w:rsid w:val="00822D2F"/>
    <w:rsid w:val="00824113"/>
    <w:rsid w:val="00831C5D"/>
    <w:rsid w:val="008324B4"/>
    <w:rsid w:val="008350C4"/>
    <w:rsid w:val="00835FD2"/>
    <w:rsid w:val="008369F7"/>
    <w:rsid w:val="008402CA"/>
    <w:rsid w:val="00843803"/>
    <w:rsid w:val="008446BE"/>
    <w:rsid w:val="00844F05"/>
    <w:rsid w:val="008456CA"/>
    <w:rsid w:val="00845DB4"/>
    <w:rsid w:val="00850D79"/>
    <w:rsid w:val="0085486B"/>
    <w:rsid w:val="00854E62"/>
    <w:rsid w:val="0086075A"/>
    <w:rsid w:val="00860F25"/>
    <w:rsid w:val="0086525D"/>
    <w:rsid w:val="00866772"/>
    <w:rsid w:val="00867A14"/>
    <w:rsid w:val="008707B2"/>
    <w:rsid w:val="00870C9D"/>
    <w:rsid w:val="0087174E"/>
    <w:rsid w:val="00871A23"/>
    <w:rsid w:val="00871EBC"/>
    <w:rsid w:val="008730A3"/>
    <w:rsid w:val="0087378D"/>
    <w:rsid w:val="00875002"/>
    <w:rsid w:val="00875144"/>
    <w:rsid w:val="00876AEC"/>
    <w:rsid w:val="00876C17"/>
    <w:rsid w:val="00883809"/>
    <w:rsid w:val="0088768D"/>
    <w:rsid w:val="00893C12"/>
    <w:rsid w:val="008944F7"/>
    <w:rsid w:val="00894C84"/>
    <w:rsid w:val="008A2F34"/>
    <w:rsid w:val="008A4AB7"/>
    <w:rsid w:val="008B1700"/>
    <w:rsid w:val="008B19B6"/>
    <w:rsid w:val="008B1F29"/>
    <w:rsid w:val="008B1FDB"/>
    <w:rsid w:val="008B4597"/>
    <w:rsid w:val="008B5061"/>
    <w:rsid w:val="008B62F7"/>
    <w:rsid w:val="008B665A"/>
    <w:rsid w:val="008C1FCB"/>
    <w:rsid w:val="008D1429"/>
    <w:rsid w:val="008D523F"/>
    <w:rsid w:val="008D5965"/>
    <w:rsid w:val="008D73AC"/>
    <w:rsid w:val="008E0FD1"/>
    <w:rsid w:val="008E1634"/>
    <w:rsid w:val="008E272A"/>
    <w:rsid w:val="008E2A95"/>
    <w:rsid w:val="008E2CC3"/>
    <w:rsid w:val="008E30D6"/>
    <w:rsid w:val="008E3F41"/>
    <w:rsid w:val="008E6BC4"/>
    <w:rsid w:val="008F010A"/>
    <w:rsid w:val="008F19D4"/>
    <w:rsid w:val="008F22A6"/>
    <w:rsid w:val="008F2E12"/>
    <w:rsid w:val="008F4846"/>
    <w:rsid w:val="008F5C09"/>
    <w:rsid w:val="008F6E5B"/>
    <w:rsid w:val="008F701F"/>
    <w:rsid w:val="008F7038"/>
    <w:rsid w:val="008F70D5"/>
    <w:rsid w:val="008F7163"/>
    <w:rsid w:val="008F7BDA"/>
    <w:rsid w:val="00902E53"/>
    <w:rsid w:val="00903AE2"/>
    <w:rsid w:val="0090643A"/>
    <w:rsid w:val="00906F4F"/>
    <w:rsid w:val="00906F7F"/>
    <w:rsid w:val="0090757A"/>
    <w:rsid w:val="009102E5"/>
    <w:rsid w:val="0091185C"/>
    <w:rsid w:val="00915AF8"/>
    <w:rsid w:val="009202CC"/>
    <w:rsid w:val="00924E59"/>
    <w:rsid w:val="00930ABD"/>
    <w:rsid w:val="009324B4"/>
    <w:rsid w:val="00933282"/>
    <w:rsid w:val="00935017"/>
    <w:rsid w:val="009363DE"/>
    <w:rsid w:val="00941B3C"/>
    <w:rsid w:val="00942451"/>
    <w:rsid w:val="00944382"/>
    <w:rsid w:val="00944668"/>
    <w:rsid w:val="00946A0B"/>
    <w:rsid w:val="00947FDA"/>
    <w:rsid w:val="00954ADB"/>
    <w:rsid w:val="0095651B"/>
    <w:rsid w:val="00966AF2"/>
    <w:rsid w:val="00966DC1"/>
    <w:rsid w:val="00975742"/>
    <w:rsid w:val="00975859"/>
    <w:rsid w:val="0097628F"/>
    <w:rsid w:val="00976CD3"/>
    <w:rsid w:val="00983DAC"/>
    <w:rsid w:val="00984922"/>
    <w:rsid w:val="00985633"/>
    <w:rsid w:val="0098586E"/>
    <w:rsid w:val="009859D3"/>
    <w:rsid w:val="00985F76"/>
    <w:rsid w:val="00986B8F"/>
    <w:rsid w:val="00987CE3"/>
    <w:rsid w:val="00991C4A"/>
    <w:rsid w:val="00994503"/>
    <w:rsid w:val="009950FC"/>
    <w:rsid w:val="00995550"/>
    <w:rsid w:val="00995995"/>
    <w:rsid w:val="009A7149"/>
    <w:rsid w:val="009B0621"/>
    <w:rsid w:val="009B0FE8"/>
    <w:rsid w:val="009B108A"/>
    <w:rsid w:val="009B20C2"/>
    <w:rsid w:val="009B62EE"/>
    <w:rsid w:val="009B6B44"/>
    <w:rsid w:val="009C0B5F"/>
    <w:rsid w:val="009C1CDD"/>
    <w:rsid w:val="009C2029"/>
    <w:rsid w:val="009C25D9"/>
    <w:rsid w:val="009C3081"/>
    <w:rsid w:val="009C4A7F"/>
    <w:rsid w:val="009C5174"/>
    <w:rsid w:val="009C67D6"/>
    <w:rsid w:val="009C718A"/>
    <w:rsid w:val="009C73C0"/>
    <w:rsid w:val="009C7671"/>
    <w:rsid w:val="009D0437"/>
    <w:rsid w:val="009D2342"/>
    <w:rsid w:val="009D3CB1"/>
    <w:rsid w:val="009D6027"/>
    <w:rsid w:val="009D751A"/>
    <w:rsid w:val="009E0D28"/>
    <w:rsid w:val="009E10F4"/>
    <w:rsid w:val="009E46EB"/>
    <w:rsid w:val="009E58D4"/>
    <w:rsid w:val="009E6C1B"/>
    <w:rsid w:val="009E7003"/>
    <w:rsid w:val="009F3079"/>
    <w:rsid w:val="009F33C1"/>
    <w:rsid w:val="009F4845"/>
    <w:rsid w:val="009F4D29"/>
    <w:rsid w:val="009F57DA"/>
    <w:rsid w:val="00A01C28"/>
    <w:rsid w:val="00A10264"/>
    <w:rsid w:val="00A109AD"/>
    <w:rsid w:val="00A10B19"/>
    <w:rsid w:val="00A11967"/>
    <w:rsid w:val="00A11B8C"/>
    <w:rsid w:val="00A15647"/>
    <w:rsid w:val="00A17C38"/>
    <w:rsid w:val="00A2133C"/>
    <w:rsid w:val="00A21503"/>
    <w:rsid w:val="00A23018"/>
    <w:rsid w:val="00A24D4C"/>
    <w:rsid w:val="00A25830"/>
    <w:rsid w:val="00A263D7"/>
    <w:rsid w:val="00A30A6B"/>
    <w:rsid w:val="00A30B41"/>
    <w:rsid w:val="00A31BA4"/>
    <w:rsid w:val="00A32809"/>
    <w:rsid w:val="00A3439C"/>
    <w:rsid w:val="00A349F4"/>
    <w:rsid w:val="00A35995"/>
    <w:rsid w:val="00A36FD6"/>
    <w:rsid w:val="00A37803"/>
    <w:rsid w:val="00A416AD"/>
    <w:rsid w:val="00A44D09"/>
    <w:rsid w:val="00A50964"/>
    <w:rsid w:val="00A51FF3"/>
    <w:rsid w:val="00A5341E"/>
    <w:rsid w:val="00A54996"/>
    <w:rsid w:val="00A56F29"/>
    <w:rsid w:val="00A57FC6"/>
    <w:rsid w:val="00A60E20"/>
    <w:rsid w:val="00A641F8"/>
    <w:rsid w:val="00A7097F"/>
    <w:rsid w:val="00A71EDC"/>
    <w:rsid w:val="00A72BFC"/>
    <w:rsid w:val="00A73A0E"/>
    <w:rsid w:val="00A73D25"/>
    <w:rsid w:val="00A74875"/>
    <w:rsid w:val="00A756BE"/>
    <w:rsid w:val="00A7730B"/>
    <w:rsid w:val="00A800A8"/>
    <w:rsid w:val="00A802EA"/>
    <w:rsid w:val="00A829EC"/>
    <w:rsid w:val="00A82CE9"/>
    <w:rsid w:val="00A875C3"/>
    <w:rsid w:val="00A9013B"/>
    <w:rsid w:val="00A90538"/>
    <w:rsid w:val="00A905AE"/>
    <w:rsid w:val="00A97F74"/>
    <w:rsid w:val="00AA0BC6"/>
    <w:rsid w:val="00AA0BD7"/>
    <w:rsid w:val="00AA2FCC"/>
    <w:rsid w:val="00AA33CC"/>
    <w:rsid w:val="00AA3977"/>
    <w:rsid w:val="00AA455F"/>
    <w:rsid w:val="00AA4C82"/>
    <w:rsid w:val="00AA6056"/>
    <w:rsid w:val="00AA7E0D"/>
    <w:rsid w:val="00AB4583"/>
    <w:rsid w:val="00AB57C2"/>
    <w:rsid w:val="00AB67DA"/>
    <w:rsid w:val="00AB7E0E"/>
    <w:rsid w:val="00AC0BC5"/>
    <w:rsid w:val="00AC103D"/>
    <w:rsid w:val="00AC3E9A"/>
    <w:rsid w:val="00AD090E"/>
    <w:rsid w:val="00AD32BE"/>
    <w:rsid w:val="00AD341F"/>
    <w:rsid w:val="00AD36B7"/>
    <w:rsid w:val="00AD755A"/>
    <w:rsid w:val="00AE1C77"/>
    <w:rsid w:val="00AE2547"/>
    <w:rsid w:val="00AE29F5"/>
    <w:rsid w:val="00AE2A51"/>
    <w:rsid w:val="00AE2FC9"/>
    <w:rsid w:val="00AE36FF"/>
    <w:rsid w:val="00AE4023"/>
    <w:rsid w:val="00AE4586"/>
    <w:rsid w:val="00AE4BD5"/>
    <w:rsid w:val="00AE4EA0"/>
    <w:rsid w:val="00AE56E5"/>
    <w:rsid w:val="00AE679F"/>
    <w:rsid w:val="00AF09B7"/>
    <w:rsid w:val="00AF6E10"/>
    <w:rsid w:val="00B004DF"/>
    <w:rsid w:val="00B01A2F"/>
    <w:rsid w:val="00B0383B"/>
    <w:rsid w:val="00B03BCD"/>
    <w:rsid w:val="00B10B53"/>
    <w:rsid w:val="00B128ED"/>
    <w:rsid w:val="00B1438A"/>
    <w:rsid w:val="00B14C8A"/>
    <w:rsid w:val="00B15570"/>
    <w:rsid w:val="00B20076"/>
    <w:rsid w:val="00B2016D"/>
    <w:rsid w:val="00B20407"/>
    <w:rsid w:val="00B239CC"/>
    <w:rsid w:val="00B240A9"/>
    <w:rsid w:val="00B26B44"/>
    <w:rsid w:val="00B32BE9"/>
    <w:rsid w:val="00B33893"/>
    <w:rsid w:val="00B3436E"/>
    <w:rsid w:val="00B37E3C"/>
    <w:rsid w:val="00B41D56"/>
    <w:rsid w:val="00B4487A"/>
    <w:rsid w:val="00B460B4"/>
    <w:rsid w:val="00B5005D"/>
    <w:rsid w:val="00B507AE"/>
    <w:rsid w:val="00B546C8"/>
    <w:rsid w:val="00B548F3"/>
    <w:rsid w:val="00B60370"/>
    <w:rsid w:val="00B60CB6"/>
    <w:rsid w:val="00B61683"/>
    <w:rsid w:val="00B61D13"/>
    <w:rsid w:val="00B6209C"/>
    <w:rsid w:val="00B622D2"/>
    <w:rsid w:val="00B636B4"/>
    <w:rsid w:val="00B63F90"/>
    <w:rsid w:val="00B64592"/>
    <w:rsid w:val="00B66D41"/>
    <w:rsid w:val="00B67449"/>
    <w:rsid w:val="00B73B2B"/>
    <w:rsid w:val="00B74B4F"/>
    <w:rsid w:val="00B763F6"/>
    <w:rsid w:val="00B76F16"/>
    <w:rsid w:val="00B807A1"/>
    <w:rsid w:val="00B828EE"/>
    <w:rsid w:val="00B83806"/>
    <w:rsid w:val="00B85345"/>
    <w:rsid w:val="00B869DC"/>
    <w:rsid w:val="00B97A1D"/>
    <w:rsid w:val="00BA3644"/>
    <w:rsid w:val="00BA48D2"/>
    <w:rsid w:val="00BA5D53"/>
    <w:rsid w:val="00BA6B96"/>
    <w:rsid w:val="00BB2FE5"/>
    <w:rsid w:val="00BB53E1"/>
    <w:rsid w:val="00BB67CF"/>
    <w:rsid w:val="00BC2C6B"/>
    <w:rsid w:val="00BC367E"/>
    <w:rsid w:val="00BC4F89"/>
    <w:rsid w:val="00BC520A"/>
    <w:rsid w:val="00BC5536"/>
    <w:rsid w:val="00BC79AA"/>
    <w:rsid w:val="00BD3BAE"/>
    <w:rsid w:val="00BD5243"/>
    <w:rsid w:val="00BD6192"/>
    <w:rsid w:val="00BD7DC5"/>
    <w:rsid w:val="00BE2433"/>
    <w:rsid w:val="00BE62BC"/>
    <w:rsid w:val="00BF13A0"/>
    <w:rsid w:val="00BF20CD"/>
    <w:rsid w:val="00BF30B7"/>
    <w:rsid w:val="00BF4C59"/>
    <w:rsid w:val="00BF521E"/>
    <w:rsid w:val="00C041BA"/>
    <w:rsid w:val="00C0532C"/>
    <w:rsid w:val="00C0576B"/>
    <w:rsid w:val="00C10A74"/>
    <w:rsid w:val="00C10AB6"/>
    <w:rsid w:val="00C10E72"/>
    <w:rsid w:val="00C113FF"/>
    <w:rsid w:val="00C11859"/>
    <w:rsid w:val="00C11C40"/>
    <w:rsid w:val="00C136C9"/>
    <w:rsid w:val="00C20EF1"/>
    <w:rsid w:val="00C22397"/>
    <w:rsid w:val="00C2253B"/>
    <w:rsid w:val="00C22922"/>
    <w:rsid w:val="00C24873"/>
    <w:rsid w:val="00C26665"/>
    <w:rsid w:val="00C26ED3"/>
    <w:rsid w:val="00C27BDC"/>
    <w:rsid w:val="00C32284"/>
    <w:rsid w:val="00C32FC4"/>
    <w:rsid w:val="00C33ED0"/>
    <w:rsid w:val="00C35A3E"/>
    <w:rsid w:val="00C36E6F"/>
    <w:rsid w:val="00C37CFD"/>
    <w:rsid w:val="00C416AA"/>
    <w:rsid w:val="00C422F0"/>
    <w:rsid w:val="00C42E9D"/>
    <w:rsid w:val="00C435B8"/>
    <w:rsid w:val="00C43F80"/>
    <w:rsid w:val="00C4430A"/>
    <w:rsid w:val="00C4485B"/>
    <w:rsid w:val="00C4550E"/>
    <w:rsid w:val="00C50A2C"/>
    <w:rsid w:val="00C50AF7"/>
    <w:rsid w:val="00C51CCD"/>
    <w:rsid w:val="00C53924"/>
    <w:rsid w:val="00C61B6C"/>
    <w:rsid w:val="00C628D6"/>
    <w:rsid w:val="00C64E52"/>
    <w:rsid w:val="00C657AB"/>
    <w:rsid w:val="00C65956"/>
    <w:rsid w:val="00C6742D"/>
    <w:rsid w:val="00C67A71"/>
    <w:rsid w:val="00C700AC"/>
    <w:rsid w:val="00C70A8E"/>
    <w:rsid w:val="00C7169A"/>
    <w:rsid w:val="00C74165"/>
    <w:rsid w:val="00C741F1"/>
    <w:rsid w:val="00C7429C"/>
    <w:rsid w:val="00C75B23"/>
    <w:rsid w:val="00C7693A"/>
    <w:rsid w:val="00C8008C"/>
    <w:rsid w:val="00C81A6D"/>
    <w:rsid w:val="00C81BDF"/>
    <w:rsid w:val="00C851BA"/>
    <w:rsid w:val="00C859D1"/>
    <w:rsid w:val="00C8612B"/>
    <w:rsid w:val="00C90131"/>
    <w:rsid w:val="00C906CC"/>
    <w:rsid w:val="00C9411B"/>
    <w:rsid w:val="00C95660"/>
    <w:rsid w:val="00CA17C1"/>
    <w:rsid w:val="00CA3A60"/>
    <w:rsid w:val="00CA4A9C"/>
    <w:rsid w:val="00CA4C38"/>
    <w:rsid w:val="00CA77E2"/>
    <w:rsid w:val="00CA7828"/>
    <w:rsid w:val="00CB0757"/>
    <w:rsid w:val="00CB0B98"/>
    <w:rsid w:val="00CB1B1D"/>
    <w:rsid w:val="00CB1DFA"/>
    <w:rsid w:val="00CB20C9"/>
    <w:rsid w:val="00CB2156"/>
    <w:rsid w:val="00CB3986"/>
    <w:rsid w:val="00CB6849"/>
    <w:rsid w:val="00CB7987"/>
    <w:rsid w:val="00CB7ACB"/>
    <w:rsid w:val="00CC18C1"/>
    <w:rsid w:val="00CC432F"/>
    <w:rsid w:val="00CC4654"/>
    <w:rsid w:val="00CC5FAD"/>
    <w:rsid w:val="00CC70A7"/>
    <w:rsid w:val="00CD185F"/>
    <w:rsid w:val="00CD2288"/>
    <w:rsid w:val="00CD331D"/>
    <w:rsid w:val="00CD3332"/>
    <w:rsid w:val="00CD4E55"/>
    <w:rsid w:val="00CD54D7"/>
    <w:rsid w:val="00CD567B"/>
    <w:rsid w:val="00CD7173"/>
    <w:rsid w:val="00CD7F0C"/>
    <w:rsid w:val="00CE1B12"/>
    <w:rsid w:val="00CE2A00"/>
    <w:rsid w:val="00CE3BA9"/>
    <w:rsid w:val="00CE74B0"/>
    <w:rsid w:val="00CE7B44"/>
    <w:rsid w:val="00CF0929"/>
    <w:rsid w:val="00CF0DF6"/>
    <w:rsid w:val="00CF28EC"/>
    <w:rsid w:val="00CF29D5"/>
    <w:rsid w:val="00CF47AC"/>
    <w:rsid w:val="00CF59A3"/>
    <w:rsid w:val="00CF6876"/>
    <w:rsid w:val="00CF69F6"/>
    <w:rsid w:val="00D02710"/>
    <w:rsid w:val="00D03C91"/>
    <w:rsid w:val="00D11D57"/>
    <w:rsid w:val="00D1280D"/>
    <w:rsid w:val="00D12A31"/>
    <w:rsid w:val="00D15C99"/>
    <w:rsid w:val="00D20ABF"/>
    <w:rsid w:val="00D23CDC"/>
    <w:rsid w:val="00D25281"/>
    <w:rsid w:val="00D2528B"/>
    <w:rsid w:val="00D2538B"/>
    <w:rsid w:val="00D25C9E"/>
    <w:rsid w:val="00D25FDC"/>
    <w:rsid w:val="00D2621D"/>
    <w:rsid w:val="00D262F0"/>
    <w:rsid w:val="00D313BC"/>
    <w:rsid w:val="00D3310C"/>
    <w:rsid w:val="00D33F22"/>
    <w:rsid w:val="00D363DB"/>
    <w:rsid w:val="00D36BE9"/>
    <w:rsid w:val="00D372F8"/>
    <w:rsid w:val="00D37E97"/>
    <w:rsid w:val="00D40748"/>
    <w:rsid w:val="00D40ADA"/>
    <w:rsid w:val="00D40DCF"/>
    <w:rsid w:val="00D41DA9"/>
    <w:rsid w:val="00D43265"/>
    <w:rsid w:val="00D47422"/>
    <w:rsid w:val="00D47DAA"/>
    <w:rsid w:val="00D51A54"/>
    <w:rsid w:val="00D55114"/>
    <w:rsid w:val="00D55447"/>
    <w:rsid w:val="00D5764B"/>
    <w:rsid w:val="00D62199"/>
    <w:rsid w:val="00D62E43"/>
    <w:rsid w:val="00D633B8"/>
    <w:rsid w:val="00D66125"/>
    <w:rsid w:val="00D71463"/>
    <w:rsid w:val="00D73323"/>
    <w:rsid w:val="00D742CC"/>
    <w:rsid w:val="00D75B62"/>
    <w:rsid w:val="00D818AF"/>
    <w:rsid w:val="00D81C8D"/>
    <w:rsid w:val="00D82211"/>
    <w:rsid w:val="00D82F8D"/>
    <w:rsid w:val="00D83BCA"/>
    <w:rsid w:val="00D843A5"/>
    <w:rsid w:val="00D9009E"/>
    <w:rsid w:val="00D90C1F"/>
    <w:rsid w:val="00D91E3C"/>
    <w:rsid w:val="00D925F5"/>
    <w:rsid w:val="00D9552A"/>
    <w:rsid w:val="00D97CA9"/>
    <w:rsid w:val="00DA0EC1"/>
    <w:rsid w:val="00DA1EBB"/>
    <w:rsid w:val="00DA23FA"/>
    <w:rsid w:val="00DB5580"/>
    <w:rsid w:val="00DB5CD5"/>
    <w:rsid w:val="00DB6048"/>
    <w:rsid w:val="00DC07D7"/>
    <w:rsid w:val="00DC1298"/>
    <w:rsid w:val="00DC16BB"/>
    <w:rsid w:val="00DC494F"/>
    <w:rsid w:val="00DC4FD5"/>
    <w:rsid w:val="00DC553A"/>
    <w:rsid w:val="00DC6A9D"/>
    <w:rsid w:val="00DC7C6C"/>
    <w:rsid w:val="00DD1705"/>
    <w:rsid w:val="00DD182E"/>
    <w:rsid w:val="00DD74C6"/>
    <w:rsid w:val="00DE28EA"/>
    <w:rsid w:val="00DE50AD"/>
    <w:rsid w:val="00DE61E5"/>
    <w:rsid w:val="00DE6BEA"/>
    <w:rsid w:val="00DE6E48"/>
    <w:rsid w:val="00DE7ED3"/>
    <w:rsid w:val="00DF0901"/>
    <w:rsid w:val="00DF1867"/>
    <w:rsid w:val="00DF19F4"/>
    <w:rsid w:val="00DF2BD0"/>
    <w:rsid w:val="00DF3FAA"/>
    <w:rsid w:val="00DF4877"/>
    <w:rsid w:val="00DF776E"/>
    <w:rsid w:val="00E00B09"/>
    <w:rsid w:val="00E02F2C"/>
    <w:rsid w:val="00E03903"/>
    <w:rsid w:val="00E03C0B"/>
    <w:rsid w:val="00E061DB"/>
    <w:rsid w:val="00E07662"/>
    <w:rsid w:val="00E10B34"/>
    <w:rsid w:val="00E1213F"/>
    <w:rsid w:val="00E12D4D"/>
    <w:rsid w:val="00E140E5"/>
    <w:rsid w:val="00E210F6"/>
    <w:rsid w:val="00E237E4"/>
    <w:rsid w:val="00E23CBD"/>
    <w:rsid w:val="00E264B8"/>
    <w:rsid w:val="00E2667C"/>
    <w:rsid w:val="00E3492F"/>
    <w:rsid w:val="00E34CCA"/>
    <w:rsid w:val="00E365DD"/>
    <w:rsid w:val="00E4427F"/>
    <w:rsid w:val="00E4576C"/>
    <w:rsid w:val="00E51725"/>
    <w:rsid w:val="00E52661"/>
    <w:rsid w:val="00E53559"/>
    <w:rsid w:val="00E535B4"/>
    <w:rsid w:val="00E55672"/>
    <w:rsid w:val="00E55E29"/>
    <w:rsid w:val="00E56B29"/>
    <w:rsid w:val="00E63CA8"/>
    <w:rsid w:val="00E6500C"/>
    <w:rsid w:val="00E7003A"/>
    <w:rsid w:val="00E7307D"/>
    <w:rsid w:val="00E73E30"/>
    <w:rsid w:val="00E74BE3"/>
    <w:rsid w:val="00E75168"/>
    <w:rsid w:val="00E75A71"/>
    <w:rsid w:val="00E76501"/>
    <w:rsid w:val="00E8372C"/>
    <w:rsid w:val="00E9050B"/>
    <w:rsid w:val="00E91F9E"/>
    <w:rsid w:val="00E9261D"/>
    <w:rsid w:val="00E95021"/>
    <w:rsid w:val="00E95A0B"/>
    <w:rsid w:val="00E95C4B"/>
    <w:rsid w:val="00E96CA3"/>
    <w:rsid w:val="00EA002C"/>
    <w:rsid w:val="00EA0235"/>
    <w:rsid w:val="00EA3060"/>
    <w:rsid w:val="00EA35DC"/>
    <w:rsid w:val="00EA59BA"/>
    <w:rsid w:val="00EA627A"/>
    <w:rsid w:val="00EB0F47"/>
    <w:rsid w:val="00EB1C6F"/>
    <w:rsid w:val="00EB40C2"/>
    <w:rsid w:val="00EB6445"/>
    <w:rsid w:val="00EB726F"/>
    <w:rsid w:val="00EB7745"/>
    <w:rsid w:val="00EC08D0"/>
    <w:rsid w:val="00EC0C44"/>
    <w:rsid w:val="00EC3016"/>
    <w:rsid w:val="00EC3583"/>
    <w:rsid w:val="00EC5520"/>
    <w:rsid w:val="00EC717A"/>
    <w:rsid w:val="00ED03C0"/>
    <w:rsid w:val="00ED4522"/>
    <w:rsid w:val="00ED500F"/>
    <w:rsid w:val="00ED53AB"/>
    <w:rsid w:val="00EE5078"/>
    <w:rsid w:val="00EE5093"/>
    <w:rsid w:val="00EE799C"/>
    <w:rsid w:val="00EF0110"/>
    <w:rsid w:val="00EF5F23"/>
    <w:rsid w:val="00EF7240"/>
    <w:rsid w:val="00F00DF1"/>
    <w:rsid w:val="00F00E7C"/>
    <w:rsid w:val="00F01C11"/>
    <w:rsid w:val="00F03289"/>
    <w:rsid w:val="00F0518B"/>
    <w:rsid w:val="00F10F5E"/>
    <w:rsid w:val="00F12A21"/>
    <w:rsid w:val="00F15A97"/>
    <w:rsid w:val="00F169F0"/>
    <w:rsid w:val="00F171AC"/>
    <w:rsid w:val="00F20C26"/>
    <w:rsid w:val="00F226FD"/>
    <w:rsid w:val="00F233B7"/>
    <w:rsid w:val="00F23633"/>
    <w:rsid w:val="00F246A2"/>
    <w:rsid w:val="00F27070"/>
    <w:rsid w:val="00F2788F"/>
    <w:rsid w:val="00F331F1"/>
    <w:rsid w:val="00F3467C"/>
    <w:rsid w:val="00F377BC"/>
    <w:rsid w:val="00F41F94"/>
    <w:rsid w:val="00F43C36"/>
    <w:rsid w:val="00F45A7D"/>
    <w:rsid w:val="00F5038A"/>
    <w:rsid w:val="00F50F96"/>
    <w:rsid w:val="00F51E98"/>
    <w:rsid w:val="00F53BB1"/>
    <w:rsid w:val="00F577B2"/>
    <w:rsid w:val="00F64018"/>
    <w:rsid w:val="00F66EF9"/>
    <w:rsid w:val="00F67DE9"/>
    <w:rsid w:val="00F7026E"/>
    <w:rsid w:val="00F70916"/>
    <w:rsid w:val="00F70AEC"/>
    <w:rsid w:val="00F71998"/>
    <w:rsid w:val="00F824EF"/>
    <w:rsid w:val="00F865CF"/>
    <w:rsid w:val="00F919E9"/>
    <w:rsid w:val="00F91E90"/>
    <w:rsid w:val="00F96977"/>
    <w:rsid w:val="00FA0539"/>
    <w:rsid w:val="00FA0E4B"/>
    <w:rsid w:val="00FA2D37"/>
    <w:rsid w:val="00FB1093"/>
    <w:rsid w:val="00FB46DB"/>
    <w:rsid w:val="00FB5658"/>
    <w:rsid w:val="00FB644A"/>
    <w:rsid w:val="00FB7FCD"/>
    <w:rsid w:val="00FC2A2D"/>
    <w:rsid w:val="00FD183C"/>
    <w:rsid w:val="00FD4AE1"/>
    <w:rsid w:val="00FD4D0A"/>
    <w:rsid w:val="00FD560E"/>
    <w:rsid w:val="00FD67E1"/>
    <w:rsid w:val="00FE10A8"/>
    <w:rsid w:val="00FE17B4"/>
    <w:rsid w:val="00FE3F86"/>
    <w:rsid w:val="00FE4D9B"/>
    <w:rsid w:val="00FE53D5"/>
    <w:rsid w:val="00FF2B82"/>
    <w:rsid w:val="00FF5CA5"/>
    <w:rsid w:val="00FF70B1"/>
    <w:rsid w:val="01101357"/>
    <w:rsid w:val="015E6884"/>
    <w:rsid w:val="020B0236"/>
    <w:rsid w:val="024D5061"/>
    <w:rsid w:val="02576382"/>
    <w:rsid w:val="025A376A"/>
    <w:rsid w:val="026E5EDF"/>
    <w:rsid w:val="02AC43E3"/>
    <w:rsid w:val="02F16D40"/>
    <w:rsid w:val="02F348CA"/>
    <w:rsid w:val="03275985"/>
    <w:rsid w:val="03477475"/>
    <w:rsid w:val="036B1902"/>
    <w:rsid w:val="036D2DAF"/>
    <w:rsid w:val="03D26776"/>
    <w:rsid w:val="03EC63C9"/>
    <w:rsid w:val="04143EE0"/>
    <w:rsid w:val="04A11624"/>
    <w:rsid w:val="04DC6EB3"/>
    <w:rsid w:val="053F077B"/>
    <w:rsid w:val="056A390F"/>
    <w:rsid w:val="05B339CD"/>
    <w:rsid w:val="05BA49E5"/>
    <w:rsid w:val="05CD00B2"/>
    <w:rsid w:val="066D0A9F"/>
    <w:rsid w:val="06D86211"/>
    <w:rsid w:val="07461878"/>
    <w:rsid w:val="07550729"/>
    <w:rsid w:val="07E33E5E"/>
    <w:rsid w:val="0805092E"/>
    <w:rsid w:val="080512E2"/>
    <w:rsid w:val="08B645FC"/>
    <w:rsid w:val="08BB4778"/>
    <w:rsid w:val="08E25FED"/>
    <w:rsid w:val="093F046F"/>
    <w:rsid w:val="097C7A01"/>
    <w:rsid w:val="099C263F"/>
    <w:rsid w:val="09C0632E"/>
    <w:rsid w:val="09FA040D"/>
    <w:rsid w:val="0A1A5654"/>
    <w:rsid w:val="0A210ED1"/>
    <w:rsid w:val="0A373700"/>
    <w:rsid w:val="0A4800D1"/>
    <w:rsid w:val="0A63147A"/>
    <w:rsid w:val="0A746A83"/>
    <w:rsid w:val="0A7E60B9"/>
    <w:rsid w:val="0ABF65E6"/>
    <w:rsid w:val="0AC22BF1"/>
    <w:rsid w:val="0ADE18C3"/>
    <w:rsid w:val="0B111E00"/>
    <w:rsid w:val="0B6041CA"/>
    <w:rsid w:val="0B8547EE"/>
    <w:rsid w:val="0B923CFA"/>
    <w:rsid w:val="0B942E06"/>
    <w:rsid w:val="0C07507E"/>
    <w:rsid w:val="0C275F3F"/>
    <w:rsid w:val="0C2A7A8F"/>
    <w:rsid w:val="0C544DF9"/>
    <w:rsid w:val="0C8001DE"/>
    <w:rsid w:val="0CD332EF"/>
    <w:rsid w:val="0CE10E1F"/>
    <w:rsid w:val="0CF610C4"/>
    <w:rsid w:val="0D257329"/>
    <w:rsid w:val="0D265FD4"/>
    <w:rsid w:val="0D51487E"/>
    <w:rsid w:val="0DFC0C73"/>
    <w:rsid w:val="0E3015A8"/>
    <w:rsid w:val="0E62227C"/>
    <w:rsid w:val="0F135152"/>
    <w:rsid w:val="0F214F22"/>
    <w:rsid w:val="0FCD100B"/>
    <w:rsid w:val="10053B74"/>
    <w:rsid w:val="105E4C72"/>
    <w:rsid w:val="10CD3EF8"/>
    <w:rsid w:val="10FD2C30"/>
    <w:rsid w:val="1111153B"/>
    <w:rsid w:val="112C42A9"/>
    <w:rsid w:val="118B740A"/>
    <w:rsid w:val="11DD0071"/>
    <w:rsid w:val="11F72B09"/>
    <w:rsid w:val="124F46F3"/>
    <w:rsid w:val="125515DD"/>
    <w:rsid w:val="12BF52E7"/>
    <w:rsid w:val="12C560F4"/>
    <w:rsid w:val="12C951E3"/>
    <w:rsid w:val="12D31841"/>
    <w:rsid w:val="131E6243"/>
    <w:rsid w:val="13273D94"/>
    <w:rsid w:val="13286F52"/>
    <w:rsid w:val="133206F4"/>
    <w:rsid w:val="13330662"/>
    <w:rsid w:val="133471D8"/>
    <w:rsid w:val="1334749C"/>
    <w:rsid w:val="13A10F7E"/>
    <w:rsid w:val="14C52A4A"/>
    <w:rsid w:val="14D14F98"/>
    <w:rsid w:val="14DB6D43"/>
    <w:rsid w:val="14E153AA"/>
    <w:rsid w:val="151501EB"/>
    <w:rsid w:val="158431C5"/>
    <w:rsid w:val="15DB44F0"/>
    <w:rsid w:val="15DD4AA4"/>
    <w:rsid w:val="15E53031"/>
    <w:rsid w:val="16324897"/>
    <w:rsid w:val="16971EC1"/>
    <w:rsid w:val="169A5C2A"/>
    <w:rsid w:val="16C35356"/>
    <w:rsid w:val="174310E4"/>
    <w:rsid w:val="1781407B"/>
    <w:rsid w:val="17BC4017"/>
    <w:rsid w:val="18326A73"/>
    <w:rsid w:val="185D226C"/>
    <w:rsid w:val="18AF23CC"/>
    <w:rsid w:val="18BA16DE"/>
    <w:rsid w:val="18DB5A77"/>
    <w:rsid w:val="19957DD4"/>
    <w:rsid w:val="19AB73A1"/>
    <w:rsid w:val="19EF23EB"/>
    <w:rsid w:val="1A015F91"/>
    <w:rsid w:val="1A083E93"/>
    <w:rsid w:val="1A3927A1"/>
    <w:rsid w:val="1B123564"/>
    <w:rsid w:val="1B462847"/>
    <w:rsid w:val="1C0B7532"/>
    <w:rsid w:val="1C1C260C"/>
    <w:rsid w:val="1C1D13BE"/>
    <w:rsid w:val="1C297D63"/>
    <w:rsid w:val="1C7F5BD5"/>
    <w:rsid w:val="1D0A4167"/>
    <w:rsid w:val="1D1F2F14"/>
    <w:rsid w:val="1D1F6383"/>
    <w:rsid w:val="1DC57B03"/>
    <w:rsid w:val="1E2D59AE"/>
    <w:rsid w:val="1E635F2D"/>
    <w:rsid w:val="1E9B1DB1"/>
    <w:rsid w:val="1EAA6290"/>
    <w:rsid w:val="1F021894"/>
    <w:rsid w:val="1F1F6AB6"/>
    <w:rsid w:val="1F394761"/>
    <w:rsid w:val="1FC328C7"/>
    <w:rsid w:val="1FC714C0"/>
    <w:rsid w:val="1FDB34DA"/>
    <w:rsid w:val="200B703B"/>
    <w:rsid w:val="201062C1"/>
    <w:rsid w:val="209B044D"/>
    <w:rsid w:val="20C705A5"/>
    <w:rsid w:val="20DA25A4"/>
    <w:rsid w:val="21042B4C"/>
    <w:rsid w:val="213A656E"/>
    <w:rsid w:val="214657E0"/>
    <w:rsid w:val="21634660"/>
    <w:rsid w:val="217504CE"/>
    <w:rsid w:val="219A3C8B"/>
    <w:rsid w:val="21C347B6"/>
    <w:rsid w:val="21CD1190"/>
    <w:rsid w:val="22335934"/>
    <w:rsid w:val="22490077"/>
    <w:rsid w:val="224D0523"/>
    <w:rsid w:val="226B2757"/>
    <w:rsid w:val="22AD6EE5"/>
    <w:rsid w:val="22FB1D2D"/>
    <w:rsid w:val="23624DC1"/>
    <w:rsid w:val="23673D54"/>
    <w:rsid w:val="236F132C"/>
    <w:rsid w:val="23AE3F11"/>
    <w:rsid w:val="23C860B3"/>
    <w:rsid w:val="24935EB9"/>
    <w:rsid w:val="24E31A7B"/>
    <w:rsid w:val="24F66C3C"/>
    <w:rsid w:val="259D53F4"/>
    <w:rsid w:val="25E14220"/>
    <w:rsid w:val="25F1147B"/>
    <w:rsid w:val="25F16507"/>
    <w:rsid w:val="25F70737"/>
    <w:rsid w:val="26200F65"/>
    <w:rsid w:val="26416061"/>
    <w:rsid w:val="2676482B"/>
    <w:rsid w:val="26A03DA3"/>
    <w:rsid w:val="26CA0394"/>
    <w:rsid w:val="26E86692"/>
    <w:rsid w:val="2709025B"/>
    <w:rsid w:val="276C49F3"/>
    <w:rsid w:val="28304227"/>
    <w:rsid w:val="284A430B"/>
    <w:rsid w:val="286C04DD"/>
    <w:rsid w:val="28A563ED"/>
    <w:rsid w:val="28DB5DC9"/>
    <w:rsid w:val="291A6A75"/>
    <w:rsid w:val="293F655C"/>
    <w:rsid w:val="296315D6"/>
    <w:rsid w:val="29705CC6"/>
    <w:rsid w:val="2988528C"/>
    <w:rsid w:val="29910CF5"/>
    <w:rsid w:val="299C3850"/>
    <w:rsid w:val="29B230E6"/>
    <w:rsid w:val="29DA269C"/>
    <w:rsid w:val="29E47C93"/>
    <w:rsid w:val="2A005E7B"/>
    <w:rsid w:val="2A0875D8"/>
    <w:rsid w:val="2A745885"/>
    <w:rsid w:val="2A8D6F61"/>
    <w:rsid w:val="2A905ABE"/>
    <w:rsid w:val="2B1062A1"/>
    <w:rsid w:val="2B786611"/>
    <w:rsid w:val="2B822FEC"/>
    <w:rsid w:val="2BB138D1"/>
    <w:rsid w:val="2BF553F4"/>
    <w:rsid w:val="2C1D4F16"/>
    <w:rsid w:val="2C212B37"/>
    <w:rsid w:val="2C5F4D6E"/>
    <w:rsid w:val="2C772424"/>
    <w:rsid w:val="2CAF7405"/>
    <w:rsid w:val="2E47082A"/>
    <w:rsid w:val="2E4C168F"/>
    <w:rsid w:val="2E9404FA"/>
    <w:rsid w:val="2EC95BE2"/>
    <w:rsid w:val="2ED26F43"/>
    <w:rsid w:val="2F332C6A"/>
    <w:rsid w:val="2F4642D6"/>
    <w:rsid w:val="2F521AA7"/>
    <w:rsid w:val="2F5C5025"/>
    <w:rsid w:val="2F630552"/>
    <w:rsid w:val="2F9047B8"/>
    <w:rsid w:val="2FA43D04"/>
    <w:rsid w:val="30011FAF"/>
    <w:rsid w:val="30185A1C"/>
    <w:rsid w:val="30E14810"/>
    <w:rsid w:val="310C5ADB"/>
    <w:rsid w:val="31794DC6"/>
    <w:rsid w:val="319677F1"/>
    <w:rsid w:val="319E66A5"/>
    <w:rsid w:val="31A713AE"/>
    <w:rsid w:val="31B15FA5"/>
    <w:rsid w:val="31F570FD"/>
    <w:rsid w:val="32411970"/>
    <w:rsid w:val="32524808"/>
    <w:rsid w:val="32580175"/>
    <w:rsid w:val="325D6010"/>
    <w:rsid w:val="327C3FAB"/>
    <w:rsid w:val="328B0677"/>
    <w:rsid w:val="32A907CC"/>
    <w:rsid w:val="32CE2FBA"/>
    <w:rsid w:val="33053B2B"/>
    <w:rsid w:val="3363390B"/>
    <w:rsid w:val="33C5616B"/>
    <w:rsid w:val="33C904D3"/>
    <w:rsid w:val="33E71C68"/>
    <w:rsid w:val="34620B5F"/>
    <w:rsid w:val="34833B90"/>
    <w:rsid w:val="34EE7BB1"/>
    <w:rsid w:val="358B4776"/>
    <w:rsid w:val="35A60982"/>
    <w:rsid w:val="35C014EA"/>
    <w:rsid w:val="360533E7"/>
    <w:rsid w:val="36116DB1"/>
    <w:rsid w:val="36510F70"/>
    <w:rsid w:val="367955AA"/>
    <w:rsid w:val="36CC5F45"/>
    <w:rsid w:val="36F62AE0"/>
    <w:rsid w:val="371B2546"/>
    <w:rsid w:val="371D1C1F"/>
    <w:rsid w:val="37425D25"/>
    <w:rsid w:val="374A3635"/>
    <w:rsid w:val="37856ABC"/>
    <w:rsid w:val="37D43366"/>
    <w:rsid w:val="380B4369"/>
    <w:rsid w:val="3817129C"/>
    <w:rsid w:val="38282D49"/>
    <w:rsid w:val="385164CC"/>
    <w:rsid w:val="385A284E"/>
    <w:rsid w:val="38926838"/>
    <w:rsid w:val="389C348C"/>
    <w:rsid w:val="38CD34E4"/>
    <w:rsid w:val="38CE1212"/>
    <w:rsid w:val="38CE740A"/>
    <w:rsid w:val="390C61EC"/>
    <w:rsid w:val="390D15EE"/>
    <w:rsid w:val="390D3BC4"/>
    <w:rsid w:val="39742824"/>
    <w:rsid w:val="39AF65D0"/>
    <w:rsid w:val="39B57621"/>
    <w:rsid w:val="3A070042"/>
    <w:rsid w:val="3AAF59E1"/>
    <w:rsid w:val="3ACF4A43"/>
    <w:rsid w:val="3ADE1C83"/>
    <w:rsid w:val="3AFD0DB1"/>
    <w:rsid w:val="3B157948"/>
    <w:rsid w:val="3B4F0A10"/>
    <w:rsid w:val="3B564399"/>
    <w:rsid w:val="3B5E3ABE"/>
    <w:rsid w:val="3BA4134C"/>
    <w:rsid w:val="3C1203CD"/>
    <w:rsid w:val="3C79268F"/>
    <w:rsid w:val="3C8B2D5A"/>
    <w:rsid w:val="3C8D183A"/>
    <w:rsid w:val="3CBB1C4D"/>
    <w:rsid w:val="3CDC62D4"/>
    <w:rsid w:val="3D847133"/>
    <w:rsid w:val="3DA24085"/>
    <w:rsid w:val="3DBF0E10"/>
    <w:rsid w:val="3DCC3CAD"/>
    <w:rsid w:val="3DD9672B"/>
    <w:rsid w:val="3DF84FF7"/>
    <w:rsid w:val="3DFD28A2"/>
    <w:rsid w:val="3E1D1540"/>
    <w:rsid w:val="3E7105B2"/>
    <w:rsid w:val="3E7429B0"/>
    <w:rsid w:val="3E7570D2"/>
    <w:rsid w:val="3E9F2716"/>
    <w:rsid w:val="3F415E00"/>
    <w:rsid w:val="3F45273E"/>
    <w:rsid w:val="3F5509F1"/>
    <w:rsid w:val="3F6A1713"/>
    <w:rsid w:val="3FBF2046"/>
    <w:rsid w:val="3FE43E1D"/>
    <w:rsid w:val="3FFF749A"/>
    <w:rsid w:val="40026FEF"/>
    <w:rsid w:val="4041301D"/>
    <w:rsid w:val="40523C2A"/>
    <w:rsid w:val="40526279"/>
    <w:rsid w:val="405D05E2"/>
    <w:rsid w:val="40A13ABC"/>
    <w:rsid w:val="40B97058"/>
    <w:rsid w:val="40BB52B4"/>
    <w:rsid w:val="40F61875"/>
    <w:rsid w:val="4159741E"/>
    <w:rsid w:val="41630892"/>
    <w:rsid w:val="41D9302C"/>
    <w:rsid w:val="41F465FF"/>
    <w:rsid w:val="420B31B2"/>
    <w:rsid w:val="422331F6"/>
    <w:rsid w:val="426E1593"/>
    <w:rsid w:val="42820AFD"/>
    <w:rsid w:val="42AE24C0"/>
    <w:rsid w:val="43104F29"/>
    <w:rsid w:val="43106CD7"/>
    <w:rsid w:val="43302B75"/>
    <w:rsid w:val="4368030A"/>
    <w:rsid w:val="436B6B0C"/>
    <w:rsid w:val="43E214D5"/>
    <w:rsid w:val="441E0142"/>
    <w:rsid w:val="44444E8A"/>
    <w:rsid w:val="444C127F"/>
    <w:rsid w:val="446F7A2D"/>
    <w:rsid w:val="44853988"/>
    <w:rsid w:val="44DF651F"/>
    <w:rsid w:val="4504286C"/>
    <w:rsid w:val="450C54CC"/>
    <w:rsid w:val="45401607"/>
    <w:rsid w:val="455E1F7C"/>
    <w:rsid w:val="457F7098"/>
    <w:rsid w:val="45E50653"/>
    <w:rsid w:val="45E9741B"/>
    <w:rsid w:val="46243558"/>
    <w:rsid w:val="4629583F"/>
    <w:rsid w:val="466D602A"/>
    <w:rsid w:val="46BA36E6"/>
    <w:rsid w:val="46D524E2"/>
    <w:rsid w:val="46E666CD"/>
    <w:rsid w:val="46FB624F"/>
    <w:rsid w:val="471D14E6"/>
    <w:rsid w:val="47506675"/>
    <w:rsid w:val="475C5803"/>
    <w:rsid w:val="480E290B"/>
    <w:rsid w:val="48146EE6"/>
    <w:rsid w:val="48CE1CF6"/>
    <w:rsid w:val="490013E0"/>
    <w:rsid w:val="493059E0"/>
    <w:rsid w:val="49361094"/>
    <w:rsid w:val="499A61A5"/>
    <w:rsid w:val="49A43BEB"/>
    <w:rsid w:val="4A0F3447"/>
    <w:rsid w:val="4A484FA8"/>
    <w:rsid w:val="4A510A89"/>
    <w:rsid w:val="4A9621B8"/>
    <w:rsid w:val="4AA27E5E"/>
    <w:rsid w:val="4AF3182D"/>
    <w:rsid w:val="4B34358E"/>
    <w:rsid w:val="4BA87845"/>
    <w:rsid w:val="4BE041DA"/>
    <w:rsid w:val="4BE17463"/>
    <w:rsid w:val="4BE40D01"/>
    <w:rsid w:val="4C001EFC"/>
    <w:rsid w:val="4C0C1A70"/>
    <w:rsid w:val="4C0E2E37"/>
    <w:rsid w:val="4C194152"/>
    <w:rsid w:val="4C5C2F8D"/>
    <w:rsid w:val="4C5C4FFB"/>
    <w:rsid w:val="4C671627"/>
    <w:rsid w:val="4C7E695A"/>
    <w:rsid w:val="4C9B73C9"/>
    <w:rsid w:val="4CB16E35"/>
    <w:rsid w:val="4D3009C9"/>
    <w:rsid w:val="4D367648"/>
    <w:rsid w:val="4D5A5C0B"/>
    <w:rsid w:val="4D7600FC"/>
    <w:rsid w:val="4D7A540F"/>
    <w:rsid w:val="4D986641"/>
    <w:rsid w:val="4DD21E9B"/>
    <w:rsid w:val="4DD25ECA"/>
    <w:rsid w:val="4DE21193"/>
    <w:rsid w:val="4E094A4F"/>
    <w:rsid w:val="4E434284"/>
    <w:rsid w:val="4E9B4829"/>
    <w:rsid w:val="4EE81A44"/>
    <w:rsid w:val="4EFC6675"/>
    <w:rsid w:val="501E0271"/>
    <w:rsid w:val="50B14E4E"/>
    <w:rsid w:val="50EF529B"/>
    <w:rsid w:val="51112598"/>
    <w:rsid w:val="513F6816"/>
    <w:rsid w:val="51711289"/>
    <w:rsid w:val="51A42191"/>
    <w:rsid w:val="51F956F1"/>
    <w:rsid w:val="52504525"/>
    <w:rsid w:val="5270469B"/>
    <w:rsid w:val="5287425C"/>
    <w:rsid w:val="52B47439"/>
    <w:rsid w:val="530D00C8"/>
    <w:rsid w:val="53B53431"/>
    <w:rsid w:val="53B61BC4"/>
    <w:rsid w:val="540E0E28"/>
    <w:rsid w:val="54130E4E"/>
    <w:rsid w:val="54512D92"/>
    <w:rsid w:val="54AF6350"/>
    <w:rsid w:val="55211F96"/>
    <w:rsid w:val="55284354"/>
    <w:rsid w:val="553A3451"/>
    <w:rsid w:val="55491271"/>
    <w:rsid w:val="55E220E2"/>
    <w:rsid w:val="56084F10"/>
    <w:rsid w:val="560C332E"/>
    <w:rsid w:val="561A63C5"/>
    <w:rsid w:val="56E30533"/>
    <w:rsid w:val="56F32822"/>
    <w:rsid w:val="570D1A54"/>
    <w:rsid w:val="57297C0D"/>
    <w:rsid w:val="57354F37"/>
    <w:rsid w:val="57666B11"/>
    <w:rsid w:val="576F769D"/>
    <w:rsid w:val="57765EE4"/>
    <w:rsid w:val="57B32846"/>
    <w:rsid w:val="57FB7AFE"/>
    <w:rsid w:val="58182635"/>
    <w:rsid w:val="581B4793"/>
    <w:rsid w:val="585A65D3"/>
    <w:rsid w:val="588647CF"/>
    <w:rsid w:val="588B296A"/>
    <w:rsid w:val="58EA7427"/>
    <w:rsid w:val="59B04939"/>
    <w:rsid w:val="59C503C4"/>
    <w:rsid w:val="59E44A57"/>
    <w:rsid w:val="5A3A3531"/>
    <w:rsid w:val="5AB556CA"/>
    <w:rsid w:val="5B1E70D9"/>
    <w:rsid w:val="5BC326E1"/>
    <w:rsid w:val="5BE16D34"/>
    <w:rsid w:val="5BEB211D"/>
    <w:rsid w:val="5C8104E0"/>
    <w:rsid w:val="5C8C4B79"/>
    <w:rsid w:val="5CA4442D"/>
    <w:rsid w:val="5CB22294"/>
    <w:rsid w:val="5CC72FCF"/>
    <w:rsid w:val="5CDD240A"/>
    <w:rsid w:val="5D3470E3"/>
    <w:rsid w:val="5DC4655C"/>
    <w:rsid w:val="5DD550AA"/>
    <w:rsid w:val="5E173E7E"/>
    <w:rsid w:val="5E20206C"/>
    <w:rsid w:val="5E635EB6"/>
    <w:rsid w:val="5E6F3357"/>
    <w:rsid w:val="5EAC6004"/>
    <w:rsid w:val="5EC944B2"/>
    <w:rsid w:val="5ED218AA"/>
    <w:rsid w:val="5F0068FD"/>
    <w:rsid w:val="5F275FCB"/>
    <w:rsid w:val="5F283595"/>
    <w:rsid w:val="5FA47A16"/>
    <w:rsid w:val="60205117"/>
    <w:rsid w:val="603E5F99"/>
    <w:rsid w:val="604269A5"/>
    <w:rsid w:val="604D4C6F"/>
    <w:rsid w:val="60DA402D"/>
    <w:rsid w:val="60E55611"/>
    <w:rsid w:val="61614E76"/>
    <w:rsid w:val="62225869"/>
    <w:rsid w:val="62620EA5"/>
    <w:rsid w:val="62EC16C5"/>
    <w:rsid w:val="62F76A27"/>
    <w:rsid w:val="63364573"/>
    <w:rsid w:val="63484125"/>
    <w:rsid w:val="637013A0"/>
    <w:rsid w:val="639130C5"/>
    <w:rsid w:val="639A7697"/>
    <w:rsid w:val="63C934FE"/>
    <w:rsid w:val="64883C80"/>
    <w:rsid w:val="65087CD9"/>
    <w:rsid w:val="65114E4C"/>
    <w:rsid w:val="6544591F"/>
    <w:rsid w:val="656C5C8A"/>
    <w:rsid w:val="657169C4"/>
    <w:rsid w:val="65C01635"/>
    <w:rsid w:val="661F2C0A"/>
    <w:rsid w:val="66270337"/>
    <w:rsid w:val="662F6629"/>
    <w:rsid w:val="665931A6"/>
    <w:rsid w:val="667224B9"/>
    <w:rsid w:val="66A12DC1"/>
    <w:rsid w:val="66A24460"/>
    <w:rsid w:val="66AD290B"/>
    <w:rsid w:val="66AF3F8D"/>
    <w:rsid w:val="66DA3FFA"/>
    <w:rsid w:val="66F47CD3"/>
    <w:rsid w:val="671F1320"/>
    <w:rsid w:val="674F7E1E"/>
    <w:rsid w:val="6759371E"/>
    <w:rsid w:val="675A4288"/>
    <w:rsid w:val="67915D89"/>
    <w:rsid w:val="67A20D6E"/>
    <w:rsid w:val="67AA0EDA"/>
    <w:rsid w:val="67BF28F6"/>
    <w:rsid w:val="68213BD6"/>
    <w:rsid w:val="68833956"/>
    <w:rsid w:val="68974B4A"/>
    <w:rsid w:val="68AF77CE"/>
    <w:rsid w:val="68BC75E6"/>
    <w:rsid w:val="68E357D0"/>
    <w:rsid w:val="692B6C90"/>
    <w:rsid w:val="694C08CA"/>
    <w:rsid w:val="69590983"/>
    <w:rsid w:val="69A51678"/>
    <w:rsid w:val="69EE7DE7"/>
    <w:rsid w:val="6A0740E0"/>
    <w:rsid w:val="6A0E1913"/>
    <w:rsid w:val="6A3F0E10"/>
    <w:rsid w:val="6AC56475"/>
    <w:rsid w:val="6AD2649C"/>
    <w:rsid w:val="6ADD630A"/>
    <w:rsid w:val="6AE156AB"/>
    <w:rsid w:val="6B104D22"/>
    <w:rsid w:val="6B560E7C"/>
    <w:rsid w:val="6B5D75C7"/>
    <w:rsid w:val="6B871E0A"/>
    <w:rsid w:val="6C5A2BED"/>
    <w:rsid w:val="6C8F247C"/>
    <w:rsid w:val="6CE40709"/>
    <w:rsid w:val="6D1A412B"/>
    <w:rsid w:val="6D572E2F"/>
    <w:rsid w:val="6D8A3964"/>
    <w:rsid w:val="6D8F67F7"/>
    <w:rsid w:val="6DA34938"/>
    <w:rsid w:val="6DA560EA"/>
    <w:rsid w:val="6DBB3B60"/>
    <w:rsid w:val="6DE40E7D"/>
    <w:rsid w:val="6DF34C0D"/>
    <w:rsid w:val="6E0D7776"/>
    <w:rsid w:val="6E1F5E9D"/>
    <w:rsid w:val="6E2C3712"/>
    <w:rsid w:val="6E492F1A"/>
    <w:rsid w:val="6E496B2F"/>
    <w:rsid w:val="6E6A590D"/>
    <w:rsid w:val="6E955FA9"/>
    <w:rsid w:val="6EB26FDE"/>
    <w:rsid w:val="6F7C5620"/>
    <w:rsid w:val="6F816C40"/>
    <w:rsid w:val="6F934E6B"/>
    <w:rsid w:val="6FD1766A"/>
    <w:rsid w:val="6FFF2F39"/>
    <w:rsid w:val="701F5C50"/>
    <w:rsid w:val="706D5CFC"/>
    <w:rsid w:val="707D334E"/>
    <w:rsid w:val="70C517D8"/>
    <w:rsid w:val="70CC0F1F"/>
    <w:rsid w:val="70CE6331"/>
    <w:rsid w:val="70FE4463"/>
    <w:rsid w:val="714E7CD0"/>
    <w:rsid w:val="7167040C"/>
    <w:rsid w:val="7189601D"/>
    <w:rsid w:val="71926986"/>
    <w:rsid w:val="72103096"/>
    <w:rsid w:val="724B3BE5"/>
    <w:rsid w:val="72757BBD"/>
    <w:rsid w:val="72AC33FD"/>
    <w:rsid w:val="72B02FB5"/>
    <w:rsid w:val="72CC3A8A"/>
    <w:rsid w:val="72FD7B60"/>
    <w:rsid w:val="73045661"/>
    <w:rsid w:val="730B69EF"/>
    <w:rsid w:val="73770529"/>
    <w:rsid w:val="740C7E0F"/>
    <w:rsid w:val="74870F58"/>
    <w:rsid w:val="7493794B"/>
    <w:rsid w:val="74B145BA"/>
    <w:rsid w:val="7523343E"/>
    <w:rsid w:val="752B4572"/>
    <w:rsid w:val="755C229C"/>
    <w:rsid w:val="756665C8"/>
    <w:rsid w:val="7594040D"/>
    <w:rsid w:val="75AD3484"/>
    <w:rsid w:val="75F85030"/>
    <w:rsid w:val="760E7EE7"/>
    <w:rsid w:val="76366ABE"/>
    <w:rsid w:val="76681E89"/>
    <w:rsid w:val="76D65566"/>
    <w:rsid w:val="76FF1318"/>
    <w:rsid w:val="771661EC"/>
    <w:rsid w:val="771E2F38"/>
    <w:rsid w:val="771F6F0D"/>
    <w:rsid w:val="77493F8A"/>
    <w:rsid w:val="775E3958"/>
    <w:rsid w:val="77FC71CE"/>
    <w:rsid w:val="78EE21D2"/>
    <w:rsid w:val="79426EE3"/>
    <w:rsid w:val="7997722F"/>
    <w:rsid w:val="7A2D600E"/>
    <w:rsid w:val="7A6C207F"/>
    <w:rsid w:val="7A9626F0"/>
    <w:rsid w:val="7AA5772A"/>
    <w:rsid w:val="7ACE0B47"/>
    <w:rsid w:val="7AD922EE"/>
    <w:rsid w:val="7AF368CF"/>
    <w:rsid w:val="7AFE4CDF"/>
    <w:rsid w:val="7B227CDD"/>
    <w:rsid w:val="7B323829"/>
    <w:rsid w:val="7B437127"/>
    <w:rsid w:val="7BF430F1"/>
    <w:rsid w:val="7C234C0C"/>
    <w:rsid w:val="7C3D4D60"/>
    <w:rsid w:val="7CA0289E"/>
    <w:rsid w:val="7CBA2277"/>
    <w:rsid w:val="7CBB1F89"/>
    <w:rsid w:val="7CF0632C"/>
    <w:rsid w:val="7CFA095A"/>
    <w:rsid w:val="7D4D694C"/>
    <w:rsid w:val="7D8A3CEB"/>
    <w:rsid w:val="7DA67368"/>
    <w:rsid w:val="7DC101F4"/>
    <w:rsid w:val="7E814193"/>
    <w:rsid w:val="7E906943"/>
    <w:rsid w:val="7E996827"/>
    <w:rsid w:val="7F64440C"/>
    <w:rsid w:val="7F9F4046"/>
    <w:rsid w:val="7FCA19A9"/>
    <w:rsid w:val="7FDC2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line="578" w:lineRule="auto"/>
      <w:outlineLvl w:val="0"/>
    </w:pPr>
    <w:rPr>
      <w:rFonts w:eastAsia="仿宋"/>
      <w:b/>
      <w:bCs/>
      <w:kern w:val="44"/>
      <w:sz w:val="28"/>
      <w:szCs w:val="44"/>
    </w:rPr>
  </w:style>
  <w:style w:type="paragraph" w:styleId="4">
    <w:name w:val="heading 2"/>
    <w:basedOn w:val="1"/>
    <w:next w:val="1"/>
    <w:link w:val="6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64"/>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99"/>
    <w:qFormat/>
    <w:uiPriority w:val="9"/>
    <w:pPr>
      <w:keepNext/>
      <w:jc w:val="center"/>
      <w:outlineLvl w:val="3"/>
    </w:pPr>
    <w:rPr>
      <w:rFonts w:eastAsia="新宋体"/>
      <w:kern w:val="0"/>
      <w:sz w:val="30"/>
      <w:szCs w:val="21"/>
    </w:rPr>
  </w:style>
  <w:style w:type="paragraph" w:styleId="6">
    <w:name w:val="heading 5"/>
    <w:basedOn w:val="1"/>
    <w:next w:val="1"/>
    <w:link w:val="77"/>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91"/>
    <w:qFormat/>
    <w:uiPriority w:val="0"/>
    <w:pPr>
      <w:keepNext/>
      <w:jc w:val="center"/>
      <w:outlineLvl w:val="5"/>
    </w:pPr>
    <w:rPr>
      <w:b/>
      <w:kern w:val="0"/>
      <w:sz w:val="44"/>
      <w:szCs w:val="20"/>
    </w:rPr>
  </w:style>
  <w:style w:type="paragraph" w:styleId="9">
    <w:name w:val="heading 7"/>
    <w:basedOn w:val="1"/>
    <w:next w:val="1"/>
    <w:link w:val="110"/>
    <w:qFormat/>
    <w:uiPriority w:val="0"/>
    <w:pPr>
      <w:keepNext/>
      <w:keepLines/>
      <w:spacing w:before="240" w:after="64" w:line="320" w:lineRule="auto"/>
      <w:outlineLvl w:val="6"/>
    </w:pPr>
    <w:rPr>
      <w:b/>
      <w:bCs/>
      <w:kern w:val="0"/>
      <w:sz w:val="24"/>
    </w:rPr>
  </w:style>
  <w:style w:type="paragraph" w:styleId="10">
    <w:name w:val="heading 8"/>
    <w:basedOn w:val="1"/>
    <w:next w:val="1"/>
    <w:link w:val="66"/>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89"/>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97"/>
    <w:qFormat/>
    <w:uiPriority w:val="0"/>
    <w:pPr>
      <w:adjustRightInd w:val="0"/>
      <w:spacing w:line="360" w:lineRule="atLeast"/>
      <w:ind w:firstLine="482"/>
      <w:textAlignment w:val="baseline"/>
    </w:pPr>
    <w:rPr>
      <w:kern w:val="0"/>
      <w:sz w:val="24"/>
    </w:rPr>
  </w:style>
  <w:style w:type="paragraph" w:styleId="12">
    <w:name w:val="Document Map"/>
    <w:basedOn w:val="1"/>
    <w:link w:val="68"/>
    <w:qFormat/>
    <w:uiPriority w:val="0"/>
    <w:pPr>
      <w:shd w:val="clear" w:color="auto" w:fill="000080"/>
    </w:pPr>
    <w:rPr>
      <w:kern w:val="0"/>
      <w:sz w:val="20"/>
    </w:rPr>
  </w:style>
  <w:style w:type="paragraph" w:styleId="13">
    <w:name w:val="annotation text"/>
    <w:basedOn w:val="1"/>
    <w:link w:val="106"/>
    <w:unhideWhenUsed/>
    <w:qFormat/>
    <w:uiPriority w:val="99"/>
    <w:pPr>
      <w:jc w:val="left"/>
    </w:pPr>
  </w:style>
  <w:style w:type="paragraph" w:styleId="14">
    <w:name w:val="Body Text 3"/>
    <w:basedOn w:val="1"/>
    <w:link w:val="70"/>
    <w:qFormat/>
    <w:uiPriority w:val="0"/>
    <w:pPr>
      <w:spacing w:after="120"/>
    </w:pPr>
    <w:rPr>
      <w:kern w:val="0"/>
      <w:sz w:val="16"/>
      <w:szCs w:val="16"/>
    </w:rPr>
  </w:style>
  <w:style w:type="paragraph" w:styleId="15">
    <w:name w:val="Body Text"/>
    <w:basedOn w:val="1"/>
    <w:next w:val="16"/>
    <w:link w:val="86"/>
    <w:unhideWhenUsed/>
    <w:qFormat/>
    <w:uiPriority w:val="0"/>
    <w:pPr>
      <w:spacing w:after="120"/>
    </w:pPr>
  </w:style>
  <w:style w:type="paragraph" w:customStyle="1" w:styleId="16">
    <w:name w:val="style4"/>
    <w:basedOn w:val="1"/>
    <w:next w:val="17"/>
    <w:qFormat/>
    <w:uiPriority w:val="0"/>
    <w:pPr>
      <w:widowControl/>
      <w:spacing w:before="280" w:after="280"/>
    </w:pPr>
    <w:rPr>
      <w:rFonts w:ascii="宋体"/>
      <w:sz w:val="18"/>
    </w:rPr>
  </w:style>
  <w:style w:type="paragraph" w:customStyle="1" w:styleId="1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8">
    <w:name w:val="Body Text Indent"/>
    <w:basedOn w:val="1"/>
    <w:next w:val="19"/>
    <w:link w:val="88"/>
    <w:unhideWhenUsed/>
    <w:qFormat/>
    <w:uiPriority w:val="0"/>
    <w:pPr>
      <w:spacing w:after="120"/>
      <w:ind w:left="420" w:leftChars="200"/>
    </w:p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95"/>
    <w:qFormat/>
    <w:uiPriority w:val="0"/>
    <w:rPr>
      <w:rFonts w:ascii="宋体" w:hAnsi="Courier New"/>
      <w:szCs w:val="21"/>
    </w:rPr>
  </w:style>
  <w:style w:type="paragraph" w:styleId="21">
    <w:name w:val="Date"/>
    <w:basedOn w:val="1"/>
    <w:next w:val="1"/>
    <w:link w:val="71"/>
    <w:qFormat/>
    <w:uiPriority w:val="0"/>
    <w:rPr>
      <w:kern w:val="0"/>
      <w:sz w:val="24"/>
      <w:szCs w:val="20"/>
    </w:rPr>
  </w:style>
  <w:style w:type="paragraph" w:styleId="22">
    <w:name w:val="Body Text Indent 2"/>
    <w:basedOn w:val="1"/>
    <w:link w:val="116"/>
    <w:qFormat/>
    <w:uiPriority w:val="0"/>
    <w:pPr>
      <w:spacing w:after="120" w:line="480" w:lineRule="auto"/>
      <w:ind w:left="420" w:leftChars="200"/>
    </w:pPr>
    <w:rPr>
      <w:kern w:val="0"/>
      <w:sz w:val="20"/>
    </w:rPr>
  </w:style>
  <w:style w:type="paragraph" w:styleId="23">
    <w:name w:val="Balloon Text"/>
    <w:basedOn w:val="1"/>
    <w:link w:val="57"/>
    <w:unhideWhenUsed/>
    <w:qFormat/>
    <w:uiPriority w:val="99"/>
    <w:rPr>
      <w:sz w:val="18"/>
      <w:szCs w:val="18"/>
    </w:rPr>
  </w:style>
  <w:style w:type="paragraph" w:styleId="24">
    <w:name w:val="footer"/>
    <w:basedOn w:val="1"/>
    <w:link w:val="72"/>
    <w:unhideWhenUsed/>
    <w:qFormat/>
    <w:uiPriority w:val="99"/>
    <w:pPr>
      <w:tabs>
        <w:tab w:val="center" w:pos="4153"/>
        <w:tab w:val="right" w:pos="8306"/>
      </w:tabs>
      <w:snapToGrid w:val="0"/>
      <w:jc w:val="left"/>
    </w:pPr>
    <w:rPr>
      <w:sz w:val="18"/>
      <w:szCs w:val="18"/>
    </w:rPr>
  </w:style>
  <w:style w:type="paragraph" w:styleId="25">
    <w:name w:val="header"/>
    <w:basedOn w:val="1"/>
    <w:link w:val="9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rPr>
      <w:sz w:val="24"/>
    </w:rPr>
  </w:style>
  <w:style w:type="paragraph" w:styleId="27">
    <w:name w:val="List"/>
    <w:basedOn w:val="1"/>
    <w:qFormat/>
    <w:uiPriority w:val="0"/>
    <w:pPr>
      <w:ind w:left="200" w:hanging="200" w:hangingChars="200"/>
    </w:pPr>
  </w:style>
  <w:style w:type="paragraph" w:styleId="28">
    <w:name w:val="Body Text Indent 3"/>
    <w:basedOn w:val="1"/>
    <w:link w:val="92"/>
    <w:qFormat/>
    <w:uiPriority w:val="0"/>
    <w:pPr>
      <w:spacing w:after="120"/>
      <w:ind w:left="420" w:leftChars="200"/>
    </w:pPr>
    <w:rPr>
      <w:kern w:val="0"/>
      <w:sz w:val="16"/>
      <w:szCs w:val="16"/>
    </w:rPr>
  </w:style>
  <w:style w:type="paragraph" w:styleId="29">
    <w:name w:val="Body Text 2"/>
    <w:basedOn w:val="1"/>
    <w:link w:val="78"/>
    <w:qFormat/>
    <w:uiPriority w:val="0"/>
    <w:pPr>
      <w:snapToGrid w:val="0"/>
    </w:pPr>
    <w:rPr>
      <w:b/>
      <w:bCs/>
      <w:kern w:val="0"/>
      <w:sz w:val="18"/>
    </w:rPr>
  </w:style>
  <w:style w:type="paragraph" w:styleId="30">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link w:val="114"/>
    <w:qFormat/>
    <w:uiPriority w:val="0"/>
    <w:pPr>
      <w:spacing w:before="240" w:after="60"/>
      <w:jc w:val="center"/>
      <w:outlineLvl w:val="0"/>
    </w:pPr>
    <w:rPr>
      <w:rFonts w:ascii="Arial" w:hAnsi="Arial"/>
      <w:b/>
      <w:bCs/>
      <w:kern w:val="0"/>
      <w:sz w:val="32"/>
      <w:szCs w:val="32"/>
    </w:rPr>
  </w:style>
  <w:style w:type="paragraph" w:styleId="33">
    <w:name w:val="annotation subject"/>
    <w:basedOn w:val="13"/>
    <w:next w:val="13"/>
    <w:link w:val="67"/>
    <w:unhideWhenUsed/>
    <w:qFormat/>
    <w:uiPriority w:val="0"/>
    <w:rPr>
      <w:b/>
      <w:bCs/>
    </w:rPr>
  </w:style>
  <w:style w:type="paragraph" w:styleId="34">
    <w:name w:val="Body Text First Indent"/>
    <w:basedOn w:val="15"/>
    <w:link w:val="115"/>
    <w:qFormat/>
    <w:uiPriority w:val="0"/>
    <w:pPr>
      <w:ind w:firstLine="420" w:firstLineChars="100"/>
    </w:pPr>
    <w:rPr>
      <w:kern w:val="0"/>
      <w:sz w:val="24"/>
    </w:rPr>
  </w:style>
  <w:style w:type="paragraph" w:styleId="35">
    <w:name w:val="Body Text First Indent 2"/>
    <w:basedOn w:val="18"/>
    <w:next w:val="28"/>
    <w:unhideWhenUsed/>
    <w:qFormat/>
    <w:uiPriority w:val="99"/>
    <w:pPr>
      <w:ind w:firstLine="200" w:firstLineChars="200"/>
    </w:p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none"/>
    </w:rPr>
  </w:style>
  <w:style w:type="character" w:styleId="42">
    <w:name w:val="Emphasis"/>
    <w:qFormat/>
    <w:uiPriority w:val="0"/>
    <w:rPr>
      <w:rFonts w:ascii="Cambria" w:hAnsi="Cambria" w:eastAsia="黑体" w:cs="Times New Roman"/>
      <w:b/>
      <w:bCs/>
      <w:iCs/>
      <w:kern w:val="2"/>
      <w:sz w:val="24"/>
      <w:szCs w:val="32"/>
      <w:lang w:val="en-US" w:eastAsia="zh-CN" w:bidi="ar-SA"/>
    </w:rPr>
  </w:style>
  <w:style w:type="character" w:styleId="43">
    <w:name w:val="HTML Definition"/>
    <w:unhideWhenUsed/>
    <w:qFormat/>
    <w:uiPriority w:val="99"/>
  </w:style>
  <w:style w:type="character" w:styleId="44">
    <w:name w:val="HTML Typewriter"/>
    <w:qFormat/>
    <w:uiPriority w:val="0"/>
    <w:rPr>
      <w:rFonts w:ascii="宋体" w:hAnsi="宋体" w:eastAsia="宋体" w:cs="宋体"/>
      <w:bCs/>
      <w:sz w:val="24"/>
      <w:szCs w:val="24"/>
      <w:lang w:val="en-US" w:eastAsia="zh-CN" w:bidi="ar-SA"/>
    </w:rPr>
  </w:style>
  <w:style w:type="character" w:styleId="45">
    <w:name w:val="HTML Acronym"/>
    <w:basedOn w:val="38"/>
    <w:unhideWhenUsed/>
    <w:qFormat/>
    <w:uiPriority w:val="99"/>
  </w:style>
  <w:style w:type="character" w:styleId="46">
    <w:name w:val="HTML Variable"/>
    <w:unhideWhenUsed/>
    <w:qFormat/>
    <w:uiPriority w:val="99"/>
  </w:style>
  <w:style w:type="character" w:styleId="47">
    <w:name w:val="Hyperlink"/>
    <w:unhideWhenUsed/>
    <w:qFormat/>
    <w:uiPriority w:val="99"/>
    <w:rPr>
      <w:color w:val="0000FF"/>
      <w:u w:val="none"/>
    </w:rPr>
  </w:style>
  <w:style w:type="character" w:styleId="48">
    <w:name w:val="HTML Code"/>
    <w:unhideWhenUsed/>
    <w:qFormat/>
    <w:uiPriority w:val="99"/>
    <w:rPr>
      <w:rFonts w:hint="default" w:ascii="monospace" w:hAnsi="monospace" w:eastAsia="monospace" w:cs="monospace"/>
      <w:sz w:val="20"/>
    </w:rPr>
  </w:style>
  <w:style w:type="character" w:styleId="49">
    <w:name w:val="annotation reference"/>
    <w:unhideWhenUsed/>
    <w:qFormat/>
    <w:uiPriority w:val="99"/>
    <w:rPr>
      <w:sz w:val="21"/>
      <w:szCs w:val="21"/>
    </w:rPr>
  </w:style>
  <w:style w:type="character" w:styleId="50">
    <w:name w:val="HTML Cite"/>
    <w:unhideWhenUsed/>
    <w:qFormat/>
    <w:uiPriority w:val="99"/>
  </w:style>
  <w:style w:type="character" w:styleId="51">
    <w:name w:val="HTML Keyboard"/>
    <w:unhideWhenUsed/>
    <w:qFormat/>
    <w:uiPriority w:val="99"/>
    <w:rPr>
      <w:rFonts w:hint="default" w:ascii="monospace" w:hAnsi="monospace" w:eastAsia="monospace" w:cs="monospace"/>
      <w:sz w:val="20"/>
    </w:rPr>
  </w:style>
  <w:style w:type="character" w:styleId="52">
    <w:name w:val="HTML Sample"/>
    <w:unhideWhenUsed/>
    <w:qFormat/>
    <w:uiPriority w:val="99"/>
    <w:rPr>
      <w:rFonts w:hint="default" w:ascii="monospace" w:hAnsi="monospace" w:eastAsia="monospace" w:cs="monospace"/>
    </w:rPr>
  </w:style>
  <w:style w:type="paragraph" w:customStyle="1" w:styleId="53">
    <w:name w:val="_Style 2"/>
    <w:basedOn w:val="1"/>
    <w:qFormat/>
    <w:uiPriority w:val="34"/>
    <w:pPr>
      <w:ind w:firstLine="420" w:firstLineChars="200"/>
    </w:pPr>
  </w:style>
  <w:style w:type="character" w:customStyle="1" w:styleId="54">
    <w:name w:val="发布"/>
    <w:qFormat/>
    <w:uiPriority w:val="0"/>
    <w:rPr>
      <w:rFonts w:ascii="黑体" w:hAnsi="黑体" w:eastAsia="黑体"/>
      <w:bCs/>
      <w:spacing w:val="22"/>
      <w:w w:val="100"/>
      <w:position w:val="3"/>
      <w:sz w:val="28"/>
      <w:szCs w:val="21"/>
      <w:lang w:val="en-US" w:eastAsia="zh-CN" w:bidi="ar-SA"/>
    </w:rPr>
  </w:style>
  <w:style w:type="character" w:customStyle="1" w:styleId="55">
    <w:name w:val="普通正文 Char"/>
    <w:link w:val="56"/>
    <w:qFormat/>
    <w:uiPriority w:val="0"/>
    <w:rPr>
      <w:rFonts w:ascii="Arial" w:hAnsi="Arial"/>
      <w:sz w:val="24"/>
      <w:szCs w:val="24"/>
    </w:rPr>
  </w:style>
  <w:style w:type="paragraph" w:customStyle="1" w:styleId="56">
    <w:name w:val="普通正文"/>
    <w:basedOn w:val="1"/>
    <w:link w:val="55"/>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57">
    <w:name w:val="批注框文本 字符"/>
    <w:link w:val="23"/>
    <w:qFormat/>
    <w:uiPriority w:val="99"/>
    <w:rPr>
      <w:rFonts w:ascii="Times New Roman" w:hAnsi="Times New Roman"/>
      <w:kern w:val="2"/>
      <w:sz w:val="18"/>
      <w:szCs w:val="18"/>
    </w:rPr>
  </w:style>
  <w:style w:type="character" w:customStyle="1" w:styleId="58">
    <w:name w:val="HTML 预设格式 字符"/>
    <w:link w:val="30"/>
    <w:qFormat/>
    <w:uiPriority w:val="0"/>
    <w:rPr>
      <w:rFonts w:ascii="Arial" w:hAnsi="Arial" w:cs="Arial"/>
      <w:sz w:val="24"/>
      <w:szCs w:val="24"/>
    </w:rPr>
  </w:style>
  <w:style w:type="character" w:customStyle="1" w:styleId="59">
    <w:name w:val="标题 1 字符"/>
    <w:link w:val="3"/>
    <w:qFormat/>
    <w:uiPriority w:val="0"/>
    <w:rPr>
      <w:rFonts w:ascii="Times New Roman" w:hAnsi="Times New Roman" w:eastAsia="仿宋"/>
      <w:b/>
      <w:bCs/>
      <w:kern w:val="44"/>
      <w:sz w:val="28"/>
      <w:szCs w:val="44"/>
    </w:rPr>
  </w:style>
  <w:style w:type="character" w:customStyle="1" w:styleId="60">
    <w:name w:val="正文文本 3 Char1"/>
    <w:semiHidden/>
    <w:qFormat/>
    <w:uiPriority w:val="99"/>
    <w:rPr>
      <w:rFonts w:ascii="Times New Roman" w:hAnsi="Times New Roman"/>
      <w:kern w:val="2"/>
      <w:sz w:val="16"/>
      <w:szCs w:val="16"/>
    </w:rPr>
  </w:style>
  <w:style w:type="character" w:customStyle="1" w:styleId="61">
    <w:name w:val="point_normal1"/>
    <w:qFormat/>
    <w:uiPriority w:val="0"/>
    <w:rPr>
      <w:rFonts w:hint="default" w:ascii="Arial" w:hAnsi="Arial" w:cs="Arial"/>
      <w:sz w:val="16"/>
      <w:szCs w:val="16"/>
    </w:rPr>
  </w:style>
  <w:style w:type="character" w:customStyle="1" w:styleId="62">
    <w:name w:val="cn_text1"/>
    <w:qFormat/>
    <w:uiPriority w:val="0"/>
    <w:rPr>
      <w:rFonts w:hint="default" w:ascii="ˎ̥" w:hAnsi="ˎ̥"/>
      <w:color w:val="003399"/>
      <w:spacing w:val="15"/>
      <w:sz w:val="18"/>
      <w:szCs w:val="18"/>
    </w:rPr>
  </w:style>
  <w:style w:type="character" w:customStyle="1" w:styleId="63">
    <w:name w:val="标题 2 字符"/>
    <w:link w:val="4"/>
    <w:qFormat/>
    <w:uiPriority w:val="9"/>
    <w:rPr>
      <w:rFonts w:ascii="Cambria" w:hAnsi="Cambria" w:eastAsia="宋体" w:cs="Times New Roman"/>
      <w:b/>
      <w:bCs/>
      <w:kern w:val="2"/>
      <w:sz w:val="32"/>
      <w:szCs w:val="32"/>
    </w:rPr>
  </w:style>
  <w:style w:type="character" w:customStyle="1" w:styleId="64">
    <w:name w:val="标题 3 字符"/>
    <w:link w:val="5"/>
    <w:qFormat/>
    <w:uiPriority w:val="0"/>
    <w:rPr>
      <w:rFonts w:ascii="Times New Roman" w:hAnsi="Times New Roman"/>
      <w:b/>
      <w:bCs/>
      <w:sz w:val="32"/>
      <w:szCs w:val="32"/>
    </w:rPr>
  </w:style>
  <w:style w:type="character" w:customStyle="1" w:styleId="65">
    <w:name w:val="标题 Char1"/>
    <w:qFormat/>
    <w:uiPriority w:val="10"/>
    <w:rPr>
      <w:rFonts w:ascii="Cambria" w:hAnsi="Cambria" w:cs="Times New Roman"/>
      <w:b/>
      <w:bCs/>
      <w:kern w:val="2"/>
      <w:sz w:val="32"/>
      <w:szCs w:val="32"/>
    </w:rPr>
  </w:style>
  <w:style w:type="character" w:customStyle="1" w:styleId="66">
    <w:name w:val="标题 8 字符"/>
    <w:link w:val="10"/>
    <w:qFormat/>
    <w:uiPriority w:val="0"/>
    <w:rPr>
      <w:rFonts w:ascii="Arial" w:hAnsi="Arial" w:eastAsia="黑体"/>
      <w:sz w:val="24"/>
      <w:szCs w:val="24"/>
    </w:rPr>
  </w:style>
  <w:style w:type="character" w:customStyle="1" w:styleId="67">
    <w:name w:val="批注主题 字符"/>
    <w:link w:val="33"/>
    <w:qFormat/>
    <w:uiPriority w:val="0"/>
    <w:rPr>
      <w:rFonts w:ascii="Times New Roman" w:hAnsi="Times New Roman"/>
      <w:b/>
      <w:bCs/>
      <w:kern w:val="2"/>
      <w:sz w:val="21"/>
      <w:szCs w:val="24"/>
    </w:rPr>
  </w:style>
  <w:style w:type="character" w:customStyle="1" w:styleId="68">
    <w:name w:val="文档结构图 字符"/>
    <w:link w:val="12"/>
    <w:qFormat/>
    <w:uiPriority w:val="0"/>
    <w:rPr>
      <w:szCs w:val="24"/>
      <w:shd w:val="clear" w:color="auto" w:fill="000080"/>
    </w:rPr>
  </w:style>
  <w:style w:type="character" w:customStyle="1" w:styleId="69">
    <w:name w:val="正文文本缩进 3 Char1"/>
    <w:semiHidden/>
    <w:qFormat/>
    <w:uiPriority w:val="99"/>
    <w:rPr>
      <w:rFonts w:ascii="Times New Roman" w:hAnsi="Times New Roman"/>
      <w:kern w:val="2"/>
      <w:sz w:val="16"/>
      <w:szCs w:val="16"/>
    </w:rPr>
  </w:style>
  <w:style w:type="character" w:customStyle="1" w:styleId="70">
    <w:name w:val="正文文本 3 字符"/>
    <w:link w:val="14"/>
    <w:qFormat/>
    <w:uiPriority w:val="0"/>
    <w:rPr>
      <w:rFonts w:ascii="Times New Roman" w:hAnsi="Times New Roman"/>
      <w:sz w:val="16"/>
      <w:szCs w:val="16"/>
    </w:rPr>
  </w:style>
  <w:style w:type="character" w:customStyle="1" w:styleId="71">
    <w:name w:val="日期 字符"/>
    <w:link w:val="21"/>
    <w:qFormat/>
    <w:uiPriority w:val="0"/>
    <w:rPr>
      <w:rFonts w:ascii="Times New Roman" w:hAnsi="Times New Roman"/>
      <w:sz w:val="24"/>
    </w:rPr>
  </w:style>
  <w:style w:type="character" w:customStyle="1" w:styleId="72">
    <w:name w:val="页脚 字符"/>
    <w:link w:val="24"/>
    <w:qFormat/>
    <w:uiPriority w:val="99"/>
    <w:rPr>
      <w:rFonts w:ascii="Times New Roman" w:hAnsi="Times New Roman"/>
      <w:kern w:val="2"/>
      <w:sz w:val="18"/>
      <w:szCs w:val="18"/>
    </w:rPr>
  </w:style>
  <w:style w:type="character" w:customStyle="1" w:styleId="73">
    <w:name w:val="样式 标题 1 + 黑体 五号 Char"/>
    <w:link w:val="74"/>
    <w:qFormat/>
    <w:uiPriority w:val="99"/>
    <w:rPr>
      <w:rFonts w:ascii="黑体" w:hAnsi="黑体" w:eastAsia="黑体"/>
    </w:rPr>
  </w:style>
  <w:style w:type="paragraph" w:customStyle="1" w:styleId="74">
    <w:name w:val="样式 标题 1 + 黑体 五号"/>
    <w:basedOn w:val="3"/>
    <w:link w:val="73"/>
    <w:qFormat/>
    <w:uiPriority w:val="99"/>
    <w:pPr>
      <w:keepLines w:val="0"/>
      <w:numPr>
        <w:ilvl w:val="0"/>
        <w:numId w:val="1"/>
      </w:numPr>
      <w:tabs>
        <w:tab w:val="left" w:pos="360"/>
      </w:tabs>
      <w:spacing w:beforeLines="50" w:afterLines="50" w:line="360" w:lineRule="exact"/>
    </w:pPr>
    <w:rPr>
      <w:rFonts w:ascii="黑体" w:hAnsi="黑体" w:eastAsia="黑体"/>
      <w:b w:val="0"/>
      <w:bCs w:val="0"/>
      <w:kern w:val="0"/>
      <w:sz w:val="20"/>
      <w:szCs w:val="20"/>
    </w:rPr>
  </w:style>
  <w:style w:type="character" w:customStyle="1" w:styleId="75">
    <w:name w:val="纯文本 Char1"/>
    <w:semiHidden/>
    <w:qFormat/>
    <w:uiPriority w:val="99"/>
    <w:rPr>
      <w:rFonts w:ascii="宋体" w:hAnsi="Courier New" w:cs="Courier New"/>
      <w:kern w:val="2"/>
      <w:sz w:val="21"/>
      <w:szCs w:val="21"/>
    </w:rPr>
  </w:style>
  <w:style w:type="character" w:customStyle="1" w:styleId="76">
    <w:name w:val="short_text1"/>
    <w:qFormat/>
    <w:uiPriority w:val="0"/>
    <w:rPr>
      <w:rFonts w:ascii="黑体" w:hAnsi="黑体" w:eastAsia="黑体"/>
      <w:bCs/>
      <w:sz w:val="29"/>
      <w:szCs w:val="29"/>
      <w:lang w:val="en-US" w:eastAsia="zh-CN" w:bidi="ar-SA"/>
    </w:rPr>
  </w:style>
  <w:style w:type="character" w:customStyle="1" w:styleId="77">
    <w:name w:val="标题 5 字符"/>
    <w:link w:val="6"/>
    <w:qFormat/>
    <w:uiPriority w:val="0"/>
    <w:rPr>
      <w:rFonts w:ascii="Times New Roman" w:hAnsi="Times New Roman"/>
      <w:b/>
      <w:bCs/>
      <w:sz w:val="28"/>
      <w:szCs w:val="28"/>
    </w:rPr>
  </w:style>
  <w:style w:type="character" w:customStyle="1" w:styleId="78">
    <w:name w:val="正文文本 2 字符"/>
    <w:link w:val="29"/>
    <w:qFormat/>
    <w:uiPriority w:val="0"/>
    <w:rPr>
      <w:rFonts w:ascii="Times New Roman" w:hAnsi="Times New Roman"/>
      <w:b/>
      <w:bCs/>
      <w:sz w:val="18"/>
      <w:szCs w:val="24"/>
    </w:rPr>
  </w:style>
  <w:style w:type="character" w:customStyle="1" w:styleId="79">
    <w:name w:val="样式 仿宋"/>
    <w:qFormat/>
    <w:uiPriority w:val="0"/>
    <w:rPr>
      <w:rFonts w:ascii="仿宋" w:hAnsi="仿宋" w:eastAsia="仿宋"/>
      <w:kern w:val="1"/>
    </w:rPr>
  </w:style>
  <w:style w:type="character" w:customStyle="1" w:styleId="80">
    <w:name w:val="ssss Char1"/>
    <w:link w:val="81"/>
    <w:qFormat/>
    <w:uiPriority w:val="0"/>
    <w:rPr>
      <w:rFonts w:ascii="Times New Roman" w:hAnsi="Times New Roman"/>
      <w:sz w:val="24"/>
      <w:szCs w:val="24"/>
    </w:rPr>
  </w:style>
  <w:style w:type="paragraph" w:customStyle="1" w:styleId="81">
    <w:name w:val="ssss"/>
    <w:basedOn w:val="1"/>
    <w:link w:val="80"/>
    <w:qFormat/>
    <w:uiPriority w:val="0"/>
    <w:pPr>
      <w:spacing w:line="360" w:lineRule="auto"/>
      <w:ind w:firstLine="480" w:firstLineChars="200"/>
    </w:pPr>
    <w:rPr>
      <w:kern w:val="0"/>
      <w:sz w:val="24"/>
    </w:rPr>
  </w:style>
  <w:style w:type="character" w:customStyle="1" w:styleId="82">
    <w:name w:val="ssss Char"/>
    <w:qFormat/>
    <w:uiPriority w:val="0"/>
    <w:rPr>
      <w:rFonts w:eastAsia="宋体"/>
      <w:kern w:val="2"/>
      <w:sz w:val="24"/>
      <w:szCs w:val="24"/>
      <w:lang w:val="en-US" w:eastAsia="zh-CN" w:bidi="ar-SA"/>
    </w:rPr>
  </w:style>
  <w:style w:type="character" w:customStyle="1" w:styleId="83">
    <w:name w:val="文档结构图 Char1"/>
    <w:semiHidden/>
    <w:qFormat/>
    <w:uiPriority w:val="99"/>
    <w:rPr>
      <w:rFonts w:ascii="宋体" w:hAnsi="Times New Roman"/>
      <w:kern w:val="2"/>
      <w:sz w:val="18"/>
      <w:szCs w:val="18"/>
    </w:rPr>
  </w:style>
  <w:style w:type="character" w:customStyle="1" w:styleId="84">
    <w:name w:val="正文缩进2格 Char"/>
    <w:link w:val="85"/>
    <w:qFormat/>
    <w:locked/>
    <w:uiPriority w:val="0"/>
    <w:rPr>
      <w:rFonts w:ascii="仿宋_GB2312" w:hAnsi="宋体" w:eastAsia="仿宋_GB2312"/>
      <w:sz w:val="31"/>
      <w:szCs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kern w:val="0"/>
      <w:sz w:val="31"/>
      <w:szCs w:val="28"/>
    </w:rPr>
  </w:style>
  <w:style w:type="character" w:customStyle="1" w:styleId="86">
    <w:name w:val="正文文本 字符"/>
    <w:link w:val="15"/>
    <w:qFormat/>
    <w:uiPriority w:val="0"/>
    <w:rPr>
      <w:rFonts w:ascii="Times New Roman" w:hAnsi="Times New Roman"/>
      <w:kern w:val="2"/>
      <w:sz w:val="21"/>
      <w:szCs w:val="24"/>
    </w:rPr>
  </w:style>
  <w:style w:type="character" w:customStyle="1" w:styleId="87">
    <w:name w:val="f1"/>
    <w:qFormat/>
    <w:uiPriority w:val="0"/>
    <w:rPr>
      <w:rFonts w:ascii="黑体" w:hAnsi="黑体" w:eastAsia="黑体"/>
      <w:bCs/>
      <w:color w:val="666666"/>
      <w:sz w:val="21"/>
      <w:szCs w:val="21"/>
      <w:lang w:val="en-US" w:eastAsia="zh-CN" w:bidi="ar-SA"/>
    </w:rPr>
  </w:style>
  <w:style w:type="character" w:customStyle="1" w:styleId="88">
    <w:name w:val="正文文本缩进 字符"/>
    <w:link w:val="18"/>
    <w:qFormat/>
    <w:uiPriority w:val="0"/>
    <w:rPr>
      <w:rFonts w:ascii="Times New Roman" w:hAnsi="Times New Roman"/>
      <w:kern w:val="2"/>
      <w:sz w:val="21"/>
      <w:szCs w:val="24"/>
    </w:rPr>
  </w:style>
  <w:style w:type="character" w:customStyle="1" w:styleId="89">
    <w:name w:val="标题 9 字符"/>
    <w:link w:val="11"/>
    <w:qFormat/>
    <w:uiPriority w:val="0"/>
    <w:rPr>
      <w:rFonts w:ascii="Arial" w:hAnsi="Arial" w:eastAsia="黑体"/>
      <w:sz w:val="24"/>
      <w:szCs w:val="21"/>
    </w:rPr>
  </w:style>
  <w:style w:type="character" w:customStyle="1" w:styleId="90">
    <w:name w:val="日期 Char1"/>
    <w:semiHidden/>
    <w:qFormat/>
    <w:uiPriority w:val="99"/>
    <w:rPr>
      <w:rFonts w:ascii="Times New Roman" w:hAnsi="Times New Roman"/>
      <w:kern w:val="2"/>
      <w:sz w:val="21"/>
      <w:szCs w:val="24"/>
    </w:rPr>
  </w:style>
  <w:style w:type="character" w:customStyle="1" w:styleId="91">
    <w:name w:val="标题 6 字符"/>
    <w:link w:val="7"/>
    <w:qFormat/>
    <w:uiPriority w:val="0"/>
    <w:rPr>
      <w:rFonts w:ascii="Times New Roman" w:hAnsi="Times New Roman"/>
      <w:b/>
      <w:sz w:val="44"/>
    </w:rPr>
  </w:style>
  <w:style w:type="character" w:customStyle="1" w:styleId="92">
    <w:name w:val="正文文本缩进 3 字符"/>
    <w:link w:val="28"/>
    <w:qFormat/>
    <w:uiPriority w:val="0"/>
    <w:rPr>
      <w:rFonts w:ascii="Times New Roman" w:hAnsi="Times New Roman"/>
      <w:sz w:val="16"/>
      <w:szCs w:val="16"/>
    </w:rPr>
  </w:style>
  <w:style w:type="character" w:customStyle="1" w:styleId="93">
    <w:name w:val="样式 正文文本 + Char"/>
    <w:link w:val="94"/>
    <w:qFormat/>
    <w:uiPriority w:val="0"/>
    <w:rPr>
      <w:rFonts w:ascii="Times New Roman" w:hAnsi="Times New Roman"/>
      <w:szCs w:val="19"/>
    </w:rPr>
  </w:style>
  <w:style w:type="paragraph" w:customStyle="1" w:styleId="94">
    <w:name w:val="样式 正文文本 +"/>
    <w:basedOn w:val="15"/>
    <w:link w:val="93"/>
    <w:qFormat/>
    <w:uiPriority w:val="0"/>
    <w:pPr>
      <w:spacing w:after="0" w:line="360" w:lineRule="exact"/>
    </w:pPr>
    <w:rPr>
      <w:kern w:val="0"/>
      <w:sz w:val="20"/>
      <w:szCs w:val="19"/>
    </w:rPr>
  </w:style>
  <w:style w:type="character" w:customStyle="1" w:styleId="95">
    <w:name w:val="纯文本 字符"/>
    <w:link w:val="20"/>
    <w:qFormat/>
    <w:locked/>
    <w:uiPriority w:val="0"/>
    <w:rPr>
      <w:rFonts w:ascii="宋体" w:hAnsi="Courier New" w:cs="Courier New"/>
      <w:kern w:val="2"/>
      <w:sz w:val="21"/>
      <w:szCs w:val="21"/>
    </w:rPr>
  </w:style>
  <w:style w:type="character" w:customStyle="1" w:styleId="96">
    <w:name w:val="标题 4 Char1"/>
    <w:qFormat/>
    <w:uiPriority w:val="0"/>
    <w:rPr>
      <w:rFonts w:ascii="Arial" w:hAnsi="Arial" w:eastAsia="黑体"/>
      <w:b/>
      <w:bCs/>
      <w:kern w:val="2"/>
      <w:sz w:val="28"/>
      <w:szCs w:val="28"/>
      <w:lang w:val="en-US" w:eastAsia="zh-CN" w:bidi="ar-SA"/>
    </w:rPr>
  </w:style>
  <w:style w:type="character" w:customStyle="1" w:styleId="97">
    <w:name w:val="正文缩进 字符"/>
    <w:link w:val="8"/>
    <w:qFormat/>
    <w:locked/>
    <w:uiPriority w:val="0"/>
    <w:rPr>
      <w:rFonts w:ascii="Times New Roman" w:hAnsi="Times New Roman"/>
      <w:sz w:val="24"/>
      <w:szCs w:val="24"/>
    </w:rPr>
  </w:style>
  <w:style w:type="character" w:customStyle="1" w:styleId="98">
    <w:name w:val="页眉 字符"/>
    <w:link w:val="25"/>
    <w:qFormat/>
    <w:uiPriority w:val="0"/>
    <w:rPr>
      <w:rFonts w:ascii="Times New Roman" w:hAnsi="Times New Roman"/>
      <w:kern w:val="2"/>
      <w:sz w:val="18"/>
      <w:szCs w:val="18"/>
    </w:rPr>
  </w:style>
  <w:style w:type="character" w:customStyle="1" w:styleId="99">
    <w:name w:val="标题 4 字符"/>
    <w:link w:val="2"/>
    <w:qFormat/>
    <w:uiPriority w:val="9"/>
    <w:rPr>
      <w:rFonts w:ascii="Times New Roman" w:hAnsi="Times New Roman" w:eastAsia="新宋体"/>
      <w:sz w:val="30"/>
      <w:szCs w:val="21"/>
    </w:rPr>
  </w:style>
  <w:style w:type="character" w:customStyle="1" w:styleId="100">
    <w:name w:val="批注文字 Char1"/>
    <w:qFormat/>
    <w:uiPriority w:val="99"/>
    <w:rPr>
      <w:rFonts w:ascii="Times New Roman" w:hAnsi="Times New Roman" w:eastAsia="宋体" w:cs="Times New Roman"/>
      <w:szCs w:val="24"/>
    </w:rPr>
  </w:style>
  <w:style w:type="character" w:customStyle="1" w:styleId="101">
    <w:name w:val="HTML 预设格式 Char1"/>
    <w:semiHidden/>
    <w:qFormat/>
    <w:uiPriority w:val="99"/>
    <w:rPr>
      <w:rFonts w:ascii="Courier New" w:hAnsi="Courier New" w:cs="Courier New"/>
      <w:kern w:val="2"/>
    </w:rPr>
  </w:style>
  <w:style w:type="character" w:customStyle="1" w:styleId="102">
    <w:name w:val="无间隔 字符"/>
    <w:basedOn w:val="38"/>
    <w:link w:val="103"/>
    <w:qFormat/>
    <w:uiPriority w:val="1"/>
  </w:style>
  <w:style w:type="paragraph" w:styleId="103">
    <w:name w:val="No Spacing"/>
    <w:basedOn w:val="1"/>
    <w:link w:val="102"/>
    <w:qFormat/>
    <w:uiPriority w:val="1"/>
    <w:rPr>
      <w:rFonts w:ascii="Calibri" w:hAnsi="Calibri"/>
      <w:kern w:val="0"/>
      <w:sz w:val="20"/>
      <w:szCs w:val="20"/>
    </w:rPr>
  </w:style>
  <w:style w:type="character" w:customStyle="1" w:styleId="104">
    <w:name w:val="FA正文 Char"/>
    <w:link w:val="105"/>
    <w:qFormat/>
    <w:uiPriority w:val="0"/>
    <w:rPr>
      <w:rFonts w:ascii="宋体" w:hAnsi="宋体"/>
      <w:sz w:val="28"/>
      <w:szCs w:val="28"/>
    </w:rPr>
  </w:style>
  <w:style w:type="paragraph" w:customStyle="1" w:styleId="105">
    <w:name w:val="FA正文"/>
    <w:basedOn w:val="1"/>
    <w:link w:val="104"/>
    <w:qFormat/>
    <w:uiPriority w:val="0"/>
    <w:pPr>
      <w:tabs>
        <w:tab w:val="left" w:pos="3375"/>
      </w:tabs>
      <w:spacing w:line="440" w:lineRule="atLeast"/>
      <w:ind w:firstLine="538" w:firstLineChars="192"/>
    </w:pPr>
    <w:rPr>
      <w:rFonts w:ascii="宋体" w:hAnsi="宋体"/>
      <w:kern w:val="0"/>
      <w:sz w:val="28"/>
      <w:szCs w:val="28"/>
    </w:rPr>
  </w:style>
  <w:style w:type="character" w:customStyle="1" w:styleId="106">
    <w:name w:val="批注文字 字符"/>
    <w:link w:val="13"/>
    <w:qFormat/>
    <w:uiPriority w:val="99"/>
    <w:rPr>
      <w:rFonts w:ascii="Times New Roman" w:hAnsi="Times New Roman"/>
      <w:kern w:val="2"/>
      <w:sz w:val="21"/>
      <w:szCs w:val="24"/>
    </w:rPr>
  </w:style>
  <w:style w:type="character" w:customStyle="1" w:styleId="107">
    <w:name w:val="正文首行缩进 Char1"/>
    <w:basedOn w:val="86"/>
    <w:semiHidden/>
    <w:qFormat/>
    <w:uiPriority w:val="99"/>
    <w:rPr>
      <w:rFonts w:ascii="Times New Roman" w:hAnsi="Times New Roman"/>
      <w:kern w:val="2"/>
      <w:sz w:val="21"/>
      <w:szCs w:val="24"/>
    </w:rPr>
  </w:style>
  <w:style w:type="character" w:customStyle="1" w:styleId="108">
    <w:name w:val="正文文本 2 Char1"/>
    <w:semiHidden/>
    <w:qFormat/>
    <w:uiPriority w:val="99"/>
    <w:rPr>
      <w:rFonts w:ascii="Times New Roman" w:hAnsi="Times New Roman"/>
      <w:kern w:val="2"/>
      <w:sz w:val="21"/>
      <w:szCs w:val="24"/>
    </w:rPr>
  </w:style>
  <w:style w:type="character" w:customStyle="1" w:styleId="109">
    <w:name w:val="def"/>
    <w:basedOn w:val="38"/>
    <w:qFormat/>
    <w:uiPriority w:val="0"/>
  </w:style>
  <w:style w:type="character" w:customStyle="1" w:styleId="110">
    <w:name w:val="标题 7 字符"/>
    <w:link w:val="9"/>
    <w:qFormat/>
    <w:uiPriority w:val="0"/>
    <w:rPr>
      <w:rFonts w:ascii="Times New Roman" w:hAnsi="Times New Roman"/>
      <w:b/>
      <w:bCs/>
      <w:sz w:val="24"/>
      <w:szCs w:val="24"/>
    </w:rPr>
  </w:style>
  <w:style w:type="character" w:customStyle="1" w:styleId="111">
    <w:name w:val="样式 ssss + 宋体 五号1 Char"/>
    <w:link w:val="112"/>
    <w:qFormat/>
    <w:uiPriority w:val="0"/>
    <w:rPr>
      <w:rFonts w:ascii="宋体" w:hAnsi="宋体"/>
      <w:sz w:val="24"/>
      <w:szCs w:val="24"/>
    </w:rPr>
  </w:style>
  <w:style w:type="paragraph" w:customStyle="1" w:styleId="112">
    <w:name w:val="样式 ssss + 宋体 五号1"/>
    <w:basedOn w:val="81"/>
    <w:link w:val="111"/>
    <w:qFormat/>
    <w:uiPriority w:val="0"/>
    <w:rPr>
      <w:rFonts w:ascii="宋体" w:hAnsi="宋体"/>
    </w:rPr>
  </w:style>
  <w:style w:type="character" w:customStyle="1" w:styleId="113">
    <w:name w:val="A4"/>
    <w:qFormat/>
    <w:uiPriority w:val="0"/>
    <w:rPr>
      <w:rFonts w:hint="eastAsia" w:ascii="新宋体" w:hAnsi="新宋体" w:eastAsia="新宋体" w:cs="新宋体"/>
      <w:color w:val="000000"/>
    </w:rPr>
  </w:style>
  <w:style w:type="character" w:customStyle="1" w:styleId="114">
    <w:name w:val="标题 字符"/>
    <w:link w:val="32"/>
    <w:qFormat/>
    <w:uiPriority w:val="0"/>
    <w:rPr>
      <w:rFonts w:ascii="Arial" w:hAnsi="Arial" w:cs="Arial"/>
      <w:b/>
      <w:bCs/>
      <w:sz w:val="32"/>
      <w:szCs w:val="32"/>
    </w:rPr>
  </w:style>
  <w:style w:type="character" w:customStyle="1" w:styleId="115">
    <w:name w:val="正文文本首行缩进 字符"/>
    <w:link w:val="34"/>
    <w:qFormat/>
    <w:uiPriority w:val="0"/>
    <w:rPr>
      <w:rFonts w:ascii="Times New Roman" w:hAnsi="Times New Roman"/>
      <w:sz w:val="24"/>
      <w:szCs w:val="24"/>
    </w:rPr>
  </w:style>
  <w:style w:type="character" w:customStyle="1" w:styleId="116">
    <w:name w:val="正文文本缩进 2 字符"/>
    <w:link w:val="22"/>
    <w:qFormat/>
    <w:uiPriority w:val="0"/>
    <w:rPr>
      <w:rFonts w:ascii="Times New Roman" w:hAnsi="Times New Roman" w:eastAsia="宋体" w:cs="Times New Roman"/>
      <w:szCs w:val="24"/>
    </w:rPr>
  </w:style>
  <w:style w:type="paragraph" w:customStyle="1" w:styleId="117">
    <w:name w:val="样式1 程继雄"/>
    <w:basedOn w:val="1"/>
    <w:qFormat/>
    <w:uiPriority w:val="0"/>
    <w:pPr>
      <w:adjustRightInd w:val="0"/>
      <w:snapToGrid w:val="0"/>
      <w:spacing w:line="365" w:lineRule="auto"/>
      <w:ind w:firstLine="600" w:firstLineChars="200"/>
    </w:pPr>
    <w:rPr>
      <w:rFonts w:ascii="仿宋_GB2312" w:hAnsi="黑体" w:eastAsia="仿宋_GB2312"/>
      <w:sz w:val="30"/>
      <w:szCs w:val="21"/>
    </w:rPr>
  </w:style>
  <w:style w:type="paragraph" w:customStyle="1" w:styleId="118">
    <w:name w:val="Char Char Char Char"/>
    <w:basedOn w:val="1"/>
    <w:qFormat/>
    <w:uiPriority w:val="0"/>
    <w:rPr>
      <w:rFonts w:ascii="Tahoma" w:hAnsi="Tahoma"/>
      <w:sz w:val="24"/>
      <w:szCs w:val="20"/>
    </w:rPr>
  </w:style>
  <w:style w:type="paragraph" w:customStyle="1" w:styleId="11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p0"/>
    <w:basedOn w:val="1"/>
    <w:qFormat/>
    <w:uiPriority w:val="0"/>
    <w:pPr>
      <w:widowControl/>
      <w:jc w:val="left"/>
    </w:pPr>
    <w:rPr>
      <w:kern w:val="0"/>
      <w:szCs w:val="21"/>
    </w:rPr>
  </w:style>
  <w:style w:type="paragraph" w:customStyle="1" w:styleId="122">
    <w:name w:val="样式 ssss + 宋体 五号"/>
    <w:basedOn w:val="81"/>
    <w:qFormat/>
    <w:uiPriority w:val="0"/>
    <w:pPr>
      <w:ind w:firstLine="420"/>
    </w:pPr>
    <w:rPr>
      <w:rFonts w:ascii="宋体" w:hAnsi="宋体" w:cs="宋体"/>
      <w:szCs w:val="20"/>
    </w:rPr>
  </w:style>
  <w:style w:type="paragraph" w:customStyle="1" w:styleId="123">
    <w:name w:val="GB-1.1"/>
    <w:qFormat/>
    <w:uiPriority w:val="0"/>
    <w:pPr>
      <w:outlineLvl w:val="1"/>
    </w:pPr>
    <w:rPr>
      <w:rFonts w:ascii="黑体" w:hAnsi="宋体" w:eastAsia="黑体" w:cs="Times New Roman"/>
      <w:sz w:val="21"/>
      <w:lang w:val="en-US" w:eastAsia="zh-CN" w:bidi="ar-SA"/>
    </w:rPr>
  </w:style>
  <w:style w:type="paragraph" w:customStyle="1" w:styleId="124">
    <w:name w:val="样式 样式 ssss + 宋体 五号 + 首行缩进:  2 字符"/>
    <w:basedOn w:val="122"/>
    <w:qFormat/>
    <w:uiPriority w:val="0"/>
    <w:pPr>
      <w:ind w:firstLine="480"/>
    </w:pPr>
  </w:style>
  <w:style w:type="paragraph" w:customStyle="1" w:styleId="125">
    <w:name w:val="Char Char 字元 字元 字元 Char Char Char Char"/>
    <w:basedOn w:val="1"/>
    <w:qFormat/>
    <w:uiPriority w:val="0"/>
    <w:pPr>
      <w:adjustRightInd w:val="0"/>
      <w:spacing w:line="360" w:lineRule="auto"/>
    </w:pPr>
    <w:rPr>
      <w:kern w:val="0"/>
      <w:sz w:val="24"/>
      <w:szCs w:val="20"/>
    </w:rPr>
  </w:style>
  <w:style w:type="paragraph" w:customStyle="1" w:styleId="126">
    <w:name w:val="Default"/>
    <w:qFormat/>
    <w:uiPriority w:val="0"/>
    <w:pPr>
      <w:widowControl w:val="0"/>
      <w:autoSpaceDE w:val="0"/>
      <w:autoSpaceDN w:val="0"/>
      <w:adjustRightInd w:val="0"/>
    </w:pPr>
    <w:rPr>
      <w:rFonts w:ascii="KOCJL A+ Avenir LT Std" w:hAnsi="Times New Roman" w:eastAsia="KOCJL A+ Avenir LT Std" w:cs="KOCJL A+ Avenir LT Std"/>
      <w:color w:val="000000"/>
      <w:sz w:val="24"/>
      <w:szCs w:val="24"/>
      <w:lang w:val="en-US" w:eastAsia="zh-CN" w:bidi="ar-SA"/>
    </w:rPr>
  </w:style>
  <w:style w:type="paragraph" w:customStyle="1" w:styleId="127">
    <w:name w:val="标题-----3"/>
    <w:basedOn w:val="5"/>
    <w:qFormat/>
    <w:uiPriority w:val="0"/>
    <w:pPr>
      <w:spacing w:before="0" w:after="0" w:line="240" w:lineRule="auto"/>
      <w:outlineLvl w:val="0"/>
    </w:pPr>
    <w:rPr>
      <w:rFonts w:ascii="宋体" w:hAnsi="宋体"/>
      <w:b w:val="0"/>
      <w:bCs w:val="0"/>
      <w:sz w:val="28"/>
      <w:szCs w:val="28"/>
    </w:rPr>
  </w:style>
  <w:style w:type="paragraph" w:customStyle="1" w:styleId="128">
    <w:name w:val="正文样式1"/>
    <w:basedOn w:val="1"/>
    <w:qFormat/>
    <w:uiPriority w:val="0"/>
    <w:pPr>
      <w:spacing w:before="120" w:after="120" w:line="360" w:lineRule="auto"/>
      <w:ind w:firstLine="480" w:firstLineChars="200"/>
    </w:pPr>
    <w:rPr>
      <w:sz w:val="24"/>
      <w:szCs w:val="20"/>
    </w:rPr>
  </w:style>
  <w:style w:type="paragraph" w:customStyle="1" w:styleId="129">
    <w:name w:val="徐丽丽三级标题"/>
    <w:basedOn w:val="1"/>
    <w:qFormat/>
    <w:uiPriority w:val="0"/>
    <w:pPr>
      <w:adjustRightInd w:val="0"/>
      <w:snapToGrid w:val="0"/>
      <w:spacing w:line="360" w:lineRule="auto"/>
      <w:ind w:firstLine="560" w:firstLineChars="200"/>
      <w:jc w:val="center"/>
      <w:outlineLvl w:val="0"/>
    </w:pPr>
    <w:rPr>
      <w:rFonts w:eastAsia="黑体"/>
      <w:bCs/>
      <w:sz w:val="28"/>
      <w:szCs w:val="28"/>
    </w:rPr>
  </w:style>
  <w:style w:type="paragraph" w:customStyle="1" w:styleId="130">
    <w:name w:val="二级条标题"/>
    <w:basedOn w:val="1"/>
    <w:next w:val="1"/>
    <w:qFormat/>
    <w:uiPriority w:val="0"/>
    <w:pPr>
      <w:autoSpaceDE w:val="0"/>
      <w:autoSpaceDN w:val="0"/>
      <w:adjustRightInd w:val="0"/>
      <w:jc w:val="left"/>
    </w:pPr>
    <w:rPr>
      <w:rFonts w:ascii="宋体"/>
      <w:kern w:val="0"/>
      <w:sz w:val="24"/>
    </w:rPr>
  </w:style>
  <w:style w:type="paragraph" w:customStyle="1" w:styleId="131">
    <w:name w:val="列出段落1"/>
    <w:basedOn w:val="1"/>
    <w:qFormat/>
    <w:uiPriority w:val="34"/>
    <w:pPr>
      <w:ind w:firstLine="420" w:firstLineChars="200"/>
    </w:pPr>
    <w:rPr>
      <w:rFonts w:ascii="Calibri" w:hAnsi="Calibri"/>
      <w:szCs w:val="22"/>
    </w:rPr>
  </w:style>
  <w:style w:type="paragraph" w:customStyle="1" w:styleId="13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_Style 6"/>
    <w:basedOn w:val="1"/>
    <w:qFormat/>
    <w:uiPriority w:val="34"/>
    <w:pPr>
      <w:ind w:firstLine="420" w:firstLineChars="200"/>
    </w:pPr>
    <w:rPr>
      <w:szCs w:val="21"/>
    </w:rPr>
  </w:style>
  <w:style w:type="paragraph" w:customStyle="1" w:styleId="134">
    <w:name w:val="TOC 标题1"/>
    <w:basedOn w:val="3"/>
    <w:next w:val="1"/>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135">
    <w:name w:val="样式 ssss + 居中"/>
    <w:basedOn w:val="81"/>
    <w:qFormat/>
    <w:uiPriority w:val="0"/>
    <w:pPr>
      <w:jc w:val="center"/>
    </w:pPr>
    <w:rPr>
      <w:rFonts w:cs="宋体"/>
      <w:szCs w:val="20"/>
    </w:rPr>
  </w:style>
  <w:style w:type="paragraph" w:customStyle="1" w:styleId="136">
    <w:name w:val="Char Char Char Char Char Char Char Char Char Char Char Char Char"/>
    <w:basedOn w:val="1"/>
    <w:qFormat/>
    <w:uiPriority w:val="0"/>
  </w:style>
  <w:style w:type="paragraph" w:customStyle="1" w:styleId="137">
    <w:name w:val="Char Char"/>
    <w:basedOn w:val="1"/>
    <w:qFormat/>
    <w:uiPriority w:val="0"/>
    <w:rPr>
      <w:szCs w:val="20"/>
    </w:rPr>
  </w:style>
  <w:style w:type="paragraph" w:customStyle="1" w:styleId="138">
    <w:name w:val="其他标准称谓"/>
    <w:qFormat/>
    <w:uiPriority w:val="0"/>
    <w:pPr>
      <w:spacing w:line="0" w:lineRule="atLeast"/>
      <w:jc w:val="distribute"/>
    </w:pPr>
    <w:rPr>
      <w:rFonts w:ascii="黑体" w:hAnsi="宋体" w:eastAsia="黑体" w:cs="Times New Roman"/>
      <w:sz w:val="52"/>
      <w:lang w:val="en-US" w:eastAsia="zh-CN" w:bidi="ar-SA"/>
    </w:rPr>
  </w:style>
  <w:style w:type="paragraph" w:styleId="139">
    <w:name w:val="List Paragraph"/>
    <w:basedOn w:val="1"/>
    <w:qFormat/>
    <w:uiPriority w:val="34"/>
    <w:pPr>
      <w:ind w:firstLine="420" w:firstLineChars="200"/>
    </w:pPr>
  </w:style>
  <w:style w:type="paragraph" w:customStyle="1" w:styleId="140">
    <w:name w:val="徐丽丽正文"/>
    <w:basedOn w:val="1"/>
    <w:qFormat/>
    <w:uiPriority w:val="0"/>
    <w:pPr>
      <w:spacing w:before="120" w:after="120" w:line="360" w:lineRule="auto"/>
      <w:ind w:firstLine="480" w:firstLineChars="200"/>
      <w:jc w:val="left"/>
    </w:pPr>
    <w:rPr>
      <w:color w:val="000000"/>
      <w:kern w:val="0"/>
      <w:sz w:val="24"/>
      <w:szCs w:val="21"/>
    </w:rPr>
  </w:style>
  <w:style w:type="paragraph" w:customStyle="1" w:styleId="14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2">
    <w:name w:val="样式 正文文本缩进 3 + 四号"/>
    <w:basedOn w:val="28"/>
    <w:qFormat/>
    <w:uiPriority w:val="0"/>
    <w:pPr>
      <w:spacing w:after="0" w:line="360" w:lineRule="auto"/>
      <w:ind w:left="0" w:leftChars="0" w:firstLine="437"/>
    </w:pPr>
    <w:rPr>
      <w:sz w:val="24"/>
      <w:szCs w:val="21"/>
    </w:rPr>
  </w:style>
  <w:style w:type="paragraph" w:customStyle="1" w:styleId="143">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44">
    <w:name w:val="徐丽丽五级标题"/>
    <w:basedOn w:val="1"/>
    <w:qFormat/>
    <w:uiPriority w:val="0"/>
    <w:pPr>
      <w:spacing w:before="120" w:after="120" w:line="360" w:lineRule="auto"/>
      <w:jc w:val="left"/>
    </w:pPr>
    <w:rPr>
      <w:rFonts w:ascii="宋体" w:hAnsi="宋体"/>
      <w:b/>
      <w:bCs/>
      <w:color w:val="000000"/>
      <w:kern w:val="0"/>
      <w:sz w:val="24"/>
    </w:rPr>
  </w:style>
  <w:style w:type="paragraph" w:customStyle="1" w:styleId="145">
    <w:name w:val="Header2"/>
    <w:basedOn w:val="1"/>
    <w:qFormat/>
    <w:uiPriority w:val="0"/>
    <w:pPr>
      <w:numPr>
        <w:ilvl w:val="0"/>
        <w:numId w:val="2"/>
      </w:numPr>
    </w:pPr>
  </w:style>
  <w:style w:type="paragraph" w:customStyle="1" w:styleId="146">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47">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4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49">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0">
    <w:name w:val="四级条标题"/>
    <w:basedOn w:val="151"/>
    <w:next w:val="1"/>
    <w:qFormat/>
    <w:uiPriority w:val="0"/>
  </w:style>
  <w:style w:type="paragraph" w:customStyle="1" w:styleId="151">
    <w:name w:val="三级条标题"/>
    <w:basedOn w:val="130"/>
    <w:next w:val="1"/>
    <w:qFormat/>
    <w:uiPriority w:val="0"/>
  </w:style>
  <w:style w:type="paragraph" w:customStyle="1" w:styleId="152">
    <w:name w:val="Char Char Char Char Char Char Char Char Char Char"/>
    <w:basedOn w:val="1"/>
    <w:qFormat/>
    <w:uiPriority w:val="0"/>
    <w:rPr>
      <w:rFonts w:ascii="Tahoma" w:hAnsi="Tahoma"/>
      <w:sz w:val="24"/>
      <w:szCs w:val="20"/>
    </w:rPr>
  </w:style>
  <w:style w:type="paragraph" w:customStyle="1" w:styleId="153">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GB-1"/>
    <w:qFormat/>
    <w:uiPriority w:val="0"/>
    <w:pPr>
      <w:keepNext/>
      <w:numPr>
        <w:ilvl w:val="0"/>
        <w:numId w:val="3"/>
      </w:numPr>
      <w:autoSpaceDE w:val="0"/>
      <w:autoSpaceDN w:val="0"/>
      <w:spacing w:beforeLines="50" w:afterLines="50"/>
      <w:outlineLvl w:val="0"/>
    </w:pPr>
    <w:rPr>
      <w:rFonts w:ascii="黑体" w:hAnsi="Times New Roman" w:eastAsia="黑体" w:cs="Times New Roman"/>
      <w:sz w:val="21"/>
      <w:szCs w:val="21"/>
      <w:lang w:val="en-US" w:eastAsia="zh-CN" w:bidi="ar-SA"/>
    </w:rPr>
  </w:style>
  <w:style w:type="paragraph" w:customStyle="1" w:styleId="155">
    <w:name w:val="Char Char Char Char1"/>
    <w:basedOn w:val="12"/>
    <w:qFormat/>
    <w:uiPriority w:val="0"/>
    <w:pPr>
      <w:adjustRightInd w:val="0"/>
      <w:snapToGrid w:val="0"/>
      <w:spacing w:line="360" w:lineRule="auto"/>
    </w:pPr>
    <w:rPr>
      <w:rFonts w:ascii="Tahoma" w:hAnsi="Tahoma"/>
      <w:sz w:val="24"/>
    </w:rPr>
  </w:style>
  <w:style w:type="paragraph" w:customStyle="1" w:styleId="156">
    <w:name w:val="章标题"/>
    <w:next w:val="1"/>
    <w:qFormat/>
    <w:uiPriority w:val="0"/>
    <w:pPr>
      <w:tabs>
        <w:tab w:val="left" w:pos="360"/>
      </w:tabs>
      <w:spacing w:beforeLines="50" w:afterLines="50"/>
      <w:ind w:left="360" w:hanging="360"/>
      <w:jc w:val="both"/>
      <w:outlineLvl w:val="1"/>
    </w:pPr>
    <w:rPr>
      <w:rFonts w:ascii="黑体" w:hAnsi="Times New Roman" w:eastAsia="黑体" w:cs="Times New Roman"/>
      <w:sz w:val="21"/>
      <w:lang w:val="en-US" w:eastAsia="zh-CN" w:bidi="ar-SA"/>
    </w:rPr>
  </w:style>
  <w:style w:type="paragraph" w:customStyle="1" w:styleId="15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60">
    <w:name w:val="Char"/>
    <w:basedOn w:val="1"/>
    <w:qFormat/>
    <w:uiPriority w:val="0"/>
    <w:rPr>
      <w:rFonts w:ascii="Tahoma" w:hAnsi="Tahoma"/>
      <w:sz w:val="24"/>
      <w:szCs w:val="20"/>
    </w:rPr>
  </w:style>
  <w:style w:type="paragraph" w:customStyle="1" w:styleId="161">
    <w:name w:val="Char Char Char Char2"/>
    <w:basedOn w:val="1"/>
    <w:qFormat/>
    <w:uiPriority w:val="0"/>
    <w:rPr>
      <w:rFonts w:ascii="Tahoma" w:hAnsi="Tahoma"/>
      <w:sz w:val="24"/>
      <w:szCs w:val="20"/>
    </w:rPr>
  </w:style>
  <w:style w:type="paragraph" w:customStyle="1" w:styleId="162">
    <w:name w:val="Char11"/>
    <w:basedOn w:val="1"/>
    <w:qFormat/>
    <w:uiPriority w:val="0"/>
    <w:pPr>
      <w:tabs>
        <w:tab w:val="left" w:pos="360"/>
      </w:tabs>
    </w:pPr>
    <w:rPr>
      <w:sz w:val="24"/>
    </w:rPr>
  </w:style>
  <w:style w:type="paragraph" w:customStyle="1" w:styleId="16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64">
    <w:name w:val="样式3"/>
    <w:basedOn w:val="20"/>
    <w:qFormat/>
    <w:uiPriority w:val="0"/>
    <w:pPr>
      <w:spacing w:line="0" w:lineRule="atLeast"/>
      <w:outlineLvl w:val="0"/>
    </w:pPr>
    <w:rPr>
      <w:kern w:val="0"/>
      <w:sz w:val="28"/>
      <w:szCs w:val="20"/>
    </w:rPr>
  </w:style>
  <w:style w:type="paragraph" w:customStyle="1" w:styleId="165">
    <w:name w:val="Char Char Char"/>
    <w:basedOn w:val="1"/>
    <w:qFormat/>
    <w:uiPriority w:val="0"/>
    <w:rPr>
      <w:rFonts w:ascii="Tahoma" w:hAnsi="Tahoma"/>
      <w:sz w:val="24"/>
      <w:szCs w:val="20"/>
    </w:rPr>
  </w:style>
  <w:style w:type="paragraph" w:customStyle="1" w:styleId="166">
    <w:name w:val="Char1"/>
    <w:basedOn w:val="1"/>
    <w:qFormat/>
    <w:uiPriority w:val="0"/>
    <w:pPr>
      <w:widowControl/>
      <w:spacing w:after="160" w:line="240" w:lineRule="exact"/>
      <w:jc w:val="left"/>
    </w:pPr>
  </w:style>
  <w:style w:type="paragraph" w:customStyle="1" w:styleId="167">
    <w:name w:val="表格"/>
    <w:basedOn w:val="1"/>
    <w:qFormat/>
    <w:uiPriority w:val="0"/>
    <w:rPr>
      <w:rFonts w:ascii="Arial" w:hAnsi="Arial"/>
      <w:sz w:val="24"/>
    </w:rPr>
  </w:style>
  <w:style w:type="paragraph" w:customStyle="1" w:styleId="168">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6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0">
    <w:name w:val="列出段落11"/>
    <w:basedOn w:val="1"/>
    <w:qFormat/>
    <w:uiPriority w:val="1"/>
    <w:pPr>
      <w:spacing w:line="360" w:lineRule="auto"/>
      <w:ind w:firstLine="420" w:firstLineChars="200"/>
      <w:jc w:val="left"/>
    </w:pPr>
    <w:rPr>
      <w:rFonts w:ascii="宋体" w:hAnsi="宋体"/>
      <w:sz w:val="24"/>
    </w:rPr>
  </w:style>
  <w:style w:type="paragraph" w:customStyle="1" w:styleId="171">
    <w:name w:val="徐丽丽四级标题"/>
    <w:basedOn w:val="1"/>
    <w:qFormat/>
    <w:uiPriority w:val="0"/>
    <w:pPr>
      <w:spacing w:before="120" w:after="120" w:line="360" w:lineRule="auto"/>
    </w:pPr>
    <w:rPr>
      <w:rFonts w:eastAsia="黑体"/>
      <w:b/>
      <w:kern w:val="0"/>
      <w:sz w:val="28"/>
    </w:rPr>
  </w:style>
  <w:style w:type="paragraph" w:customStyle="1" w:styleId="172">
    <w:name w:val="Char Char Char Char Char Char Char Char Char Char Char Char Char1"/>
    <w:basedOn w:val="1"/>
    <w:qFormat/>
    <w:uiPriority w:val="0"/>
    <w:rPr>
      <w:sz w:val="24"/>
    </w:rPr>
  </w:style>
  <w:style w:type="paragraph" w:customStyle="1" w:styleId="173">
    <w:name w:val="样式 样式 标题 1 + 黑体 五号 + 段前: 0.5 行 段后: 0.5 行"/>
    <w:basedOn w:val="74"/>
    <w:qFormat/>
    <w:uiPriority w:val="99"/>
    <w:pPr>
      <w:spacing w:before="156" w:after="156"/>
    </w:pPr>
    <w:rPr>
      <w:rFonts w:cs="宋体"/>
      <w:b/>
    </w:rPr>
  </w:style>
  <w:style w:type="paragraph" w:customStyle="1" w:styleId="174">
    <w:name w:val="Pa1"/>
    <w:basedOn w:val="126"/>
    <w:next w:val="126"/>
    <w:qFormat/>
    <w:uiPriority w:val="0"/>
    <w:pPr>
      <w:spacing w:line="241" w:lineRule="atLeast"/>
    </w:pPr>
    <w:rPr>
      <w:rFonts w:ascii="Tahoma" w:hAnsi="Tahoma" w:eastAsia="宋体" w:cs="Times New Roman"/>
      <w:color w:val="auto"/>
    </w:rPr>
  </w:style>
  <w:style w:type="table" w:customStyle="1" w:styleId="175">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2"/>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7">
    <w:name w:val="Placeholder Text"/>
    <w:basedOn w:val="38"/>
    <w:unhideWhenUsed/>
    <w:qFormat/>
    <w:uiPriority w:val="99"/>
    <w:rPr>
      <w:color w:val="808080"/>
    </w:rPr>
  </w:style>
  <w:style w:type="table" w:customStyle="1" w:styleId="178">
    <w:name w:val="网格型3"/>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样式1"/>
    <w:basedOn w:val="1"/>
    <w:qFormat/>
    <w:uiPriority w:val="0"/>
    <w:pPr>
      <w:numPr>
        <w:ilvl w:val="0"/>
        <w:numId w:val="4"/>
      </w:numPr>
      <w:adjustRightInd w:val="0"/>
      <w:textAlignment w:val="baseline"/>
    </w:pPr>
    <w:rPr>
      <w:rFonts w:ascii="宋体" w:hAnsi="宋体"/>
      <w:kern w:val="0"/>
      <w:szCs w:val="21"/>
    </w:rPr>
  </w:style>
  <w:style w:type="table" w:customStyle="1" w:styleId="18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5B2FC-87FC-4855-B3A6-07FE5820068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17154</Words>
  <Characters>17623</Characters>
  <Lines>188</Lines>
  <Paragraphs>53</Paragraphs>
  <TotalTime>0</TotalTime>
  <ScaleCrop>false</ScaleCrop>
  <LinksUpToDate>false</LinksUpToDate>
  <CharactersWithSpaces>18869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2022-04-26T10:18:00Z</dcterms:created>
  <dc:creator>丁晓华</dc:creator>
  <cp:lastModifiedBy>凌默</cp:lastModifiedBy>
  <cp:lastPrinted>2022-06-13T02:12:00Z</cp:lastPrinted>
  <dcterms:modified xsi:type="dcterms:W3CDTF">2025-02-27T09:24:53Z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3A82EB6FE6FC452A849347DBBE572000_13</vt:lpwstr>
  </property>
</Properties>
</file>